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6E1E8BEE" w:rsidR="00F110CD" w:rsidRPr="00103E15" w:rsidRDefault="00F110CD">
      <w:pPr>
        <w:pStyle w:val="Header"/>
        <w:tabs>
          <w:tab w:val="right" w:pos="9639"/>
        </w:tabs>
        <w:rPr>
          <w:noProof w:val="0"/>
          <w:sz w:val="24"/>
          <w:szCs w:val="24"/>
          <w:lang w:val="de-DE"/>
        </w:rPr>
      </w:pPr>
      <w:r w:rsidRPr="00103E15">
        <w:rPr>
          <w:noProof w:val="0"/>
          <w:sz w:val="24"/>
          <w:szCs w:val="24"/>
          <w:lang w:val="de-DE"/>
        </w:rPr>
        <w:t>3GPP TSG RA</w:t>
      </w:r>
      <w:r w:rsidR="00BA1872" w:rsidRPr="00103E15">
        <w:rPr>
          <w:noProof w:val="0"/>
          <w:sz w:val="24"/>
          <w:szCs w:val="24"/>
          <w:lang w:val="de-DE"/>
        </w:rPr>
        <w:t xml:space="preserve">N WG1 </w:t>
      </w:r>
      <w:r w:rsidR="00B65452" w:rsidRPr="00103E15">
        <w:rPr>
          <w:noProof w:val="0"/>
          <w:sz w:val="24"/>
          <w:szCs w:val="24"/>
          <w:lang w:val="de-DE"/>
        </w:rPr>
        <w:t>#</w:t>
      </w:r>
      <w:r w:rsidR="00D05105" w:rsidRPr="00103E15">
        <w:rPr>
          <w:noProof w:val="0"/>
          <w:sz w:val="24"/>
          <w:szCs w:val="24"/>
          <w:lang w:val="de-DE"/>
        </w:rPr>
        <w:t>9</w:t>
      </w:r>
      <w:r w:rsidR="0026095C" w:rsidRPr="00103E15">
        <w:rPr>
          <w:noProof w:val="0"/>
          <w:sz w:val="24"/>
          <w:szCs w:val="24"/>
          <w:lang w:val="de-DE"/>
        </w:rPr>
        <w:t>8</w:t>
      </w:r>
      <w:r w:rsidR="0018161B" w:rsidRPr="00103E15">
        <w:rPr>
          <w:noProof w:val="0"/>
          <w:sz w:val="24"/>
          <w:szCs w:val="24"/>
          <w:lang w:val="de-DE"/>
        </w:rPr>
        <w:t>-bis</w:t>
      </w:r>
      <w:r w:rsidR="001348FE" w:rsidRPr="00103E15">
        <w:rPr>
          <w:bCs/>
          <w:noProof w:val="0"/>
          <w:sz w:val="24"/>
          <w:szCs w:val="24"/>
          <w:lang w:val="de-DE"/>
        </w:rPr>
        <w:tab/>
      </w:r>
      <w:r w:rsidR="00BA1872" w:rsidRPr="00103E15">
        <w:rPr>
          <w:noProof w:val="0"/>
          <w:sz w:val="24"/>
          <w:szCs w:val="24"/>
          <w:lang w:val="de-DE"/>
        </w:rPr>
        <w:t>R1-</w:t>
      </w:r>
      <w:r w:rsidR="00461EB5" w:rsidRPr="00103E15">
        <w:rPr>
          <w:lang w:val="de-DE"/>
        </w:rPr>
        <w:t xml:space="preserve"> </w:t>
      </w:r>
      <w:r w:rsidR="007224D0" w:rsidRPr="00103E15">
        <w:rPr>
          <w:noProof w:val="0"/>
          <w:sz w:val="24"/>
          <w:szCs w:val="24"/>
          <w:lang w:val="de-DE"/>
        </w:rPr>
        <w:t>19</w:t>
      </w:r>
      <w:r w:rsidR="00372655" w:rsidRPr="00103E15">
        <w:rPr>
          <w:noProof w:val="0"/>
          <w:sz w:val="24"/>
          <w:szCs w:val="24"/>
          <w:lang w:val="de-DE"/>
        </w:rPr>
        <w:t>10890</w:t>
      </w:r>
    </w:p>
    <w:p w14:paraId="30E02940" w14:textId="7298B0A9" w:rsidR="00CA26CE" w:rsidRDefault="0018161B" w:rsidP="00CA26CE">
      <w:pPr>
        <w:pStyle w:val="Header"/>
        <w:rPr>
          <w:bCs/>
          <w:noProof w:val="0"/>
          <w:sz w:val="24"/>
          <w:szCs w:val="24"/>
        </w:rPr>
      </w:pPr>
      <w:r>
        <w:rPr>
          <w:bCs/>
          <w:noProof w:val="0"/>
          <w:sz w:val="24"/>
          <w:szCs w:val="24"/>
        </w:rPr>
        <w:t>Chongqing</w:t>
      </w:r>
      <w:r w:rsidR="00B65452">
        <w:rPr>
          <w:bCs/>
          <w:noProof w:val="0"/>
          <w:sz w:val="24"/>
          <w:szCs w:val="24"/>
        </w:rPr>
        <w:t xml:space="preserve">, </w:t>
      </w:r>
      <w:r w:rsidR="0026095C">
        <w:rPr>
          <w:bCs/>
          <w:noProof w:val="0"/>
          <w:sz w:val="24"/>
          <w:szCs w:val="24"/>
        </w:rPr>
        <w:t>C</w:t>
      </w:r>
      <w:r>
        <w:rPr>
          <w:bCs/>
          <w:noProof w:val="0"/>
          <w:sz w:val="24"/>
          <w:szCs w:val="24"/>
        </w:rPr>
        <w:t>hina</w:t>
      </w:r>
      <w:r w:rsidR="00B65452">
        <w:rPr>
          <w:bCs/>
          <w:noProof w:val="0"/>
          <w:sz w:val="24"/>
          <w:szCs w:val="24"/>
        </w:rPr>
        <w:t xml:space="preserve">, </w:t>
      </w:r>
      <w:r>
        <w:rPr>
          <w:bCs/>
          <w:noProof w:val="0"/>
          <w:sz w:val="24"/>
          <w:szCs w:val="24"/>
        </w:rPr>
        <w:t>14</w:t>
      </w:r>
      <w:r w:rsidR="00B65452" w:rsidRPr="00B65452">
        <w:rPr>
          <w:bCs/>
          <w:noProof w:val="0"/>
          <w:sz w:val="24"/>
          <w:szCs w:val="24"/>
          <w:vertAlign w:val="superscript"/>
        </w:rPr>
        <w:t>th</w:t>
      </w:r>
      <w:r w:rsidR="00B65452">
        <w:rPr>
          <w:bCs/>
          <w:noProof w:val="0"/>
          <w:sz w:val="24"/>
          <w:szCs w:val="24"/>
        </w:rPr>
        <w:t xml:space="preserve"> </w:t>
      </w:r>
      <w:r w:rsidR="00C86B1D">
        <w:rPr>
          <w:bCs/>
          <w:noProof w:val="0"/>
          <w:sz w:val="24"/>
          <w:szCs w:val="24"/>
        </w:rPr>
        <w:t xml:space="preserve">– </w:t>
      </w:r>
      <w:r>
        <w:rPr>
          <w:bCs/>
          <w:noProof w:val="0"/>
          <w:sz w:val="24"/>
          <w:szCs w:val="24"/>
        </w:rPr>
        <w:t>18</w:t>
      </w:r>
      <w:r w:rsidR="00C86B1D" w:rsidRPr="00C86B1D">
        <w:rPr>
          <w:bCs/>
          <w:noProof w:val="0"/>
          <w:sz w:val="24"/>
          <w:szCs w:val="24"/>
          <w:vertAlign w:val="superscript"/>
        </w:rPr>
        <w:t>th</w:t>
      </w:r>
      <w:r w:rsidR="00C86B1D">
        <w:rPr>
          <w:bCs/>
          <w:noProof w:val="0"/>
          <w:sz w:val="24"/>
          <w:szCs w:val="24"/>
        </w:rPr>
        <w:t xml:space="preserve"> </w:t>
      </w:r>
      <w:proofErr w:type="gramStart"/>
      <w:r>
        <w:rPr>
          <w:bCs/>
          <w:noProof w:val="0"/>
          <w:sz w:val="24"/>
          <w:szCs w:val="24"/>
        </w:rPr>
        <w:t>October</w:t>
      </w:r>
      <w:r w:rsidR="00BA1872">
        <w:rPr>
          <w:bCs/>
          <w:noProof w:val="0"/>
          <w:sz w:val="24"/>
          <w:szCs w:val="24"/>
        </w:rPr>
        <w:t>,</w:t>
      </w:r>
      <w:proofErr w:type="gramEnd"/>
      <w:r w:rsidR="00BA1872">
        <w:rPr>
          <w:bCs/>
          <w:noProof w:val="0"/>
          <w:sz w:val="24"/>
          <w:szCs w:val="24"/>
        </w:rPr>
        <w:t xml:space="preserve"> 2019</w:t>
      </w:r>
    </w:p>
    <w:p w14:paraId="2CFE1919" w14:textId="77777777" w:rsidR="00850D96" w:rsidRPr="00850D96" w:rsidRDefault="00850D96" w:rsidP="00CA26CE">
      <w:pPr>
        <w:pStyle w:val="Header"/>
        <w:rPr>
          <w:bCs/>
          <w:noProof w:val="0"/>
          <w:sz w:val="24"/>
          <w:lang w:val="en-GB" w:eastAsia="ja-JP"/>
        </w:rPr>
      </w:pPr>
    </w:p>
    <w:p w14:paraId="30E02941" w14:textId="3B63BAA2"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7820D0">
        <w:rPr>
          <w:rFonts w:cs="Arial"/>
          <w:b/>
          <w:bCs/>
          <w:sz w:val="24"/>
          <w:szCs w:val="24"/>
        </w:rPr>
        <w:t>.</w:t>
      </w:r>
      <w:r w:rsidR="00AD372F">
        <w:rPr>
          <w:rFonts w:cs="Arial"/>
          <w:b/>
          <w:bCs/>
          <w:sz w:val="24"/>
          <w:szCs w:val="24"/>
        </w:rPr>
        <w:t>10.</w:t>
      </w:r>
      <w:r w:rsidR="00280B72">
        <w:rPr>
          <w:rFonts w:cs="Arial"/>
          <w:b/>
          <w:bCs/>
          <w:sz w:val="24"/>
          <w:szCs w:val="24"/>
        </w:rPr>
        <w:t>4</w:t>
      </w:r>
    </w:p>
    <w:p w14:paraId="30E02942" w14:textId="106AC9F2"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65FA20B1" w:rsidRPr="3E61DC49">
        <w:rPr>
          <w:rFonts w:ascii="Arial" w:hAnsi="Arial" w:cs="Arial"/>
          <w:b/>
          <w:bCs/>
          <w:sz w:val="24"/>
          <w:szCs w:val="24"/>
        </w:rPr>
        <w:t xml:space="preserve"> </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83A4568"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65FA20B1" w:rsidRPr="3E61DC49">
        <w:rPr>
          <w:rFonts w:ascii="Arial" w:hAnsi="Arial" w:cs="Arial"/>
          <w:b/>
          <w:bCs/>
          <w:sz w:val="24"/>
          <w:szCs w:val="24"/>
        </w:rPr>
        <w:t xml:space="preserve"> </w:t>
      </w:r>
      <w:r w:rsidRPr="0016316A">
        <w:rPr>
          <w:rFonts w:ascii="Arial" w:hAnsi="Arial" w:cs="Arial"/>
          <w:b/>
          <w:bCs/>
          <w:sz w:val="24"/>
        </w:rPr>
        <w:tab/>
      </w:r>
      <w:r w:rsidR="00280B72">
        <w:rPr>
          <w:rFonts w:ascii="Arial" w:hAnsi="Arial" w:cs="Arial"/>
          <w:b/>
          <w:bCs/>
          <w:sz w:val="24"/>
        </w:rPr>
        <w:t xml:space="preserve">Views on </w:t>
      </w:r>
      <w:r w:rsidR="00280B72">
        <w:rPr>
          <w:rFonts w:ascii="Arial" w:hAnsi="Arial" w:cs="Arial"/>
          <w:b/>
          <w:bCs/>
          <w:sz w:val="24"/>
          <w:szCs w:val="24"/>
        </w:rPr>
        <w:t>Physical Layer Procedures</w:t>
      </w:r>
      <w:r w:rsidR="00280B72" w:rsidRPr="003B3752">
        <w:rPr>
          <w:rFonts w:ascii="Arial" w:hAnsi="Arial" w:cs="Arial"/>
          <w:b/>
          <w:bCs/>
          <w:sz w:val="24"/>
          <w:szCs w:val="24"/>
        </w:rPr>
        <w:t xml:space="preserve"> for NR Positioning</w:t>
      </w:r>
    </w:p>
    <w:p w14:paraId="30E02944" w14:textId="5DECF18B"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65FA20B1" w:rsidRPr="3E61DC49">
        <w:rPr>
          <w:rFonts w:ascii="Arial" w:hAnsi="Arial" w:cs="Arial"/>
          <w:b/>
          <w:bCs/>
          <w:sz w:val="24"/>
          <w:szCs w:val="24"/>
        </w:rPr>
        <w:t xml:space="preserve"> </w:t>
      </w:r>
      <w:r w:rsidRPr="0016316A">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52562533" w:rsidP="00ED1327">
      <w:pPr>
        <w:pStyle w:val="Heading1"/>
      </w:pPr>
      <w:r>
        <w:t>Introduction</w:t>
      </w:r>
    </w:p>
    <w:p w14:paraId="5AFAB7E5" w14:textId="77777777" w:rsidR="00280B72" w:rsidRDefault="00280B72" w:rsidP="00280B72">
      <w:bookmarkStart w:id="0" w:name="_Hlk510705081"/>
      <w:r>
        <w:t>As part of the WID [</w:t>
      </w:r>
      <w:r w:rsidRPr="00B71881">
        <w:t>1</w:t>
      </w:r>
      <w:r>
        <w:t>], RAN1 has the following objective related to physical layer procedures for NR positioning:</w:t>
      </w:r>
    </w:p>
    <w:p w14:paraId="0D228B99" w14:textId="15A6B786" w:rsidR="00280B72" w:rsidRDefault="00280B72" w:rsidP="00280B72">
      <w:pPr>
        <w:pStyle w:val="3GPPAgreements"/>
        <w:ind w:left="284" w:hanging="284"/>
        <w:rPr>
          <w:sz w:val="20"/>
        </w:rPr>
      </w:pPr>
      <w:r>
        <w:rPr>
          <w:sz w:val="20"/>
        </w:rPr>
        <w:t>If necessary, d</w:t>
      </w:r>
      <w:r w:rsidRPr="00057F88">
        <w:rPr>
          <w:sz w:val="20"/>
        </w:rPr>
        <w:t>efine physical-layer procedures to support UE</w:t>
      </w:r>
      <w:r>
        <w:rPr>
          <w:sz w:val="20"/>
        </w:rPr>
        <w:t>/gNB</w:t>
      </w:r>
      <w:r w:rsidRPr="00057F88">
        <w:rPr>
          <w:sz w:val="20"/>
        </w:rPr>
        <w:t xml:space="preserve"> measurements for NR positioning </w:t>
      </w:r>
      <w:r>
        <w:rPr>
          <w:sz w:val="20"/>
        </w:rPr>
        <w:t>[</w:t>
      </w:r>
      <w:r w:rsidRPr="00057F88">
        <w:rPr>
          <w:sz w:val="20"/>
        </w:rPr>
        <w:t>RAN1]</w:t>
      </w:r>
    </w:p>
    <w:p w14:paraId="37DB5909" w14:textId="77777777" w:rsidR="005651B8" w:rsidRPr="005651B8" w:rsidRDefault="005651B8" w:rsidP="005651B8">
      <w:pPr>
        <w:pStyle w:val="3GPPAgreements"/>
        <w:numPr>
          <w:ilvl w:val="0"/>
          <w:numId w:val="0"/>
        </w:numPr>
        <w:ind w:left="284"/>
        <w:rPr>
          <w:sz w:val="20"/>
        </w:rPr>
      </w:pPr>
      <w:bookmarkStart w:id="1" w:name="_GoBack"/>
      <w:bookmarkEnd w:id="1"/>
    </w:p>
    <w:p w14:paraId="01522741" w14:textId="77777777" w:rsidR="00280B72" w:rsidRDefault="00280B72" w:rsidP="00280B72">
      <w:r>
        <w:t xml:space="preserve">This contribution discusses Nokia’s view on any physical-layer procedures needed to support NR positioning measurements in Rel-16. For Nokia’s view on the downlink and uplink reference signal design for NR positioning see [2-3]. In addition, see our companion contribution [4] for our views on UE/gNB measurements for NR positioning. </w:t>
      </w:r>
    </w:p>
    <w:p w14:paraId="71230483" w14:textId="137ABD3A" w:rsidR="00305297" w:rsidRDefault="52562533" w:rsidP="00A23DCA">
      <w:pPr>
        <w:pStyle w:val="Heading1"/>
      </w:pPr>
      <w:r>
        <w:t>Discussion</w:t>
      </w:r>
    </w:p>
    <w:bookmarkEnd w:id="0"/>
    <w:p w14:paraId="75904FAF" w14:textId="77777777" w:rsidR="002064BB" w:rsidRDefault="002064BB" w:rsidP="002064BB">
      <w:pPr>
        <w:pStyle w:val="Heading2"/>
        <w:rPr>
          <w:lang w:val="en-US"/>
        </w:rPr>
      </w:pPr>
      <w:r>
        <w:rPr>
          <w:lang w:val="en-US"/>
        </w:rPr>
        <w:t>gNB RX beam selection</w:t>
      </w:r>
    </w:p>
    <w:p w14:paraId="3C4DD673" w14:textId="77777777" w:rsidR="002064BB" w:rsidRDefault="002064BB" w:rsidP="002064BB">
      <w:pPr>
        <w:rPr>
          <w:lang w:val="en-US"/>
        </w:rPr>
      </w:pPr>
      <w:r>
        <w:rPr>
          <w:lang w:val="en-US"/>
        </w:rPr>
        <w:t>At RAN1#97 the following agreement was reached</w:t>
      </w:r>
    </w:p>
    <w:tbl>
      <w:tblPr>
        <w:tblStyle w:val="TableGrid"/>
        <w:tblW w:w="0" w:type="auto"/>
        <w:tblLook w:val="04A0" w:firstRow="1" w:lastRow="0" w:firstColumn="1" w:lastColumn="0" w:noHBand="0" w:noVBand="1"/>
      </w:tblPr>
      <w:tblGrid>
        <w:gridCol w:w="9629"/>
      </w:tblGrid>
      <w:tr w:rsidR="002064BB" w14:paraId="5D538894" w14:textId="77777777" w:rsidTr="00506E91">
        <w:tc>
          <w:tcPr>
            <w:tcW w:w="9629" w:type="dxa"/>
          </w:tcPr>
          <w:p w14:paraId="1128C695" w14:textId="77777777" w:rsidR="002064BB" w:rsidRDefault="002064BB" w:rsidP="00506E91">
            <w:r w:rsidRPr="00D41EDA">
              <w:rPr>
                <w:highlight w:val="green"/>
              </w:rPr>
              <w:t>Agreement:</w:t>
            </w:r>
          </w:p>
          <w:p w14:paraId="6456FC92" w14:textId="77777777" w:rsidR="002064BB" w:rsidRPr="00BE677F" w:rsidRDefault="002064BB" w:rsidP="00506E91">
            <w:pPr>
              <w:rPr>
                <w:lang w:val="en-US"/>
              </w:rPr>
            </w:pPr>
            <w:r w:rsidRPr="00BE677F">
              <w:t>For positioning purposes, for UL Beam management/alignment towards serving and neighbouring cells, the following is supported (in addition to UE TX beam sweeping):</w:t>
            </w:r>
          </w:p>
          <w:p w14:paraId="782460F3" w14:textId="77777777" w:rsidR="002064BB" w:rsidRPr="00BE677F" w:rsidRDefault="002064BB" w:rsidP="00506E91">
            <w:pPr>
              <w:numPr>
                <w:ilvl w:val="0"/>
                <w:numId w:val="37"/>
              </w:numPr>
              <w:rPr>
                <w:lang w:val="en-US"/>
              </w:rPr>
            </w:pPr>
            <w:r w:rsidRPr="00BE677F">
              <w:t>Configuration of a spatial relation between a reference DL RS from serving or neighbouring cells and the target SRS.</w:t>
            </w:r>
          </w:p>
          <w:p w14:paraId="26A84A68" w14:textId="77777777" w:rsidR="002064BB" w:rsidRPr="00BE677F" w:rsidRDefault="002064BB" w:rsidP="00506E91">
            <w:pPr>
              <w:numPr>
                <w:ilvl w:val="1"/>
                <w:numId w:val="37"/>
              </w:numPr>
              <w:rPr>
                <w:lang w:val="en-US"/>
              </w:rPr>
            </w:pPr>
            <w:r w:rsidRPr="00BE677F">
              <w:t>Reference DL RS that can be used include at least SSB. FFS on CSI-RS, DL-PRS.</w:t>
            </w:r>
          </w:p>
          <w:p w14:paraId="213B42A3" w14:textId="77777777" w:rsidR="002064BB" w:rsidRPr="00BE677F" w:rsidRDefault="002064BB" w:rsidP="00506E91">
            <w:pPr>
              <w:numPr>
                <w:ilvl w:val="0"/>
                <w:numId w:val="37"/>
              </w:numPr>
              <w:rPr>
                <w:lang w:val="en-US"/>
              </w:rPr>
            </w:pPr>
            <w:r w:rsidRPr="00BE677F">
              <w:t>A fixed Tx beam for UL SRS transmissions across multiple UL SRS Resources, for both FR1 and FR2.</w:t>
            </w:r>
          </w:p>
          <w:p w14:paraId="79782C4C" w14:textId="77777777" w:rsidR="002064BB" w:rsidRPr="00BE677F" w:rsidRDefault="002064BB" w:rsidP="00506E91">
            <w:pPr>
              <w:numPr>
                <w:ilvl w:val="1"/>
                <w:numId w:val="37"/>
              </w:numPr>
              <w:rPr>
                <w:lang w:val="en-US"/>
              </w:rPr>
            </w:pPr>
            <w:r w:rsidRPr="00BE677F">
              <w:t>FFS how the fixed beam is selected.</w:t>
            </w:r>
          </w:p>
          <w:p w14:paraId="12484B96" w14:textId="77777777" w:rsidR="002064BB" w:rsidRPr="00BE677F" w:rsidRDefault="002064BB" w:rsidP="00506E91">
            <w:pPr>
              <w:numPr>
                <w:ilvl w:val="0"/>
                <w:numId w:val="37"/>
              </w:numPr>
              <w:rPr>
                <w:lang w:val="en-US"/>
              </w:rPr>
            </w:pPr>
            <w:r w:rsidRPr="00BE677F">
              <w:t>FFS on specification impacts.</w:t>
            </w:r>
          </w:p>
          <w:p w14:paraId="7A886339" w14:textId="77777777" w:rsidR="002064BB" w:rsidRPr="00BE677F" w:rsidRDefault="002064BB" w:rsidP="00506E91">
            <w:pPr>
              <w:numPr>
                <w:ilvl w:val="0"/>
                <w:numId w:val="37"/>
              </w:numPr>
              <w:rPr>
                <w:lang w:val="en-US"/>
              </w:rPr>
            </w:pPr>
            <w:r w:rsidRPr="00BE677F">
              <w:t>Note: In Rel-16, UE is not expected to transmit multiple SRS resources with different spatial relations in the same OFDM symbol (Rel-15 behaviour)</w:t>
            </w:r>
          </w:p>
        </w:tc>
      </w:tr>
    </w:tbl>
    <w:p w14:paraId="08303FD0" w14:textId="77777777" w:rsidR="005651B8" w:rsidRDefault="005651B8" w:rsidP="002064BB">
      <w:pPr>
        <w:rPr>
          <w:lang w:val="en-US"/>
        </w:rPr>
      </w:pPr>
    </w:p>
    <w:p w14:paraId="13A06216" w14:textId="47C914D0" w:rsidR="002064BB" w:rsidRDefault="002064BB" w:rsidP="002064BB">
      <w:pPr>
        <w:rPr>
          <w:rFonts w:eastAsia="Times New Roman"/>
          <w:lang w:eastAsia="zh-CN"/>
        </w:rPr>
      </w:pPr>
      <w:r>
        <w:rPr>
          <w:lang w:val="en-US"/>
        </w:rPr>
        <w:t xml:space="preserve">One related issue to this agreement that has not been discussed is the topic of gNB RX beamforming during the UL </w:t>
      </w:r>
      <w:r w:rsidR="0005101F">
        <w:rPr>
          <w:lang w:val="en-US"/>
        </w:rPr>
        <w:t>positioning</w:t>
      </w:r>
      <w:r>
        <w:rPr>
          <w:lang w:val="en-US"/>
        </w:rPr>
        <w:t xml:space="preserve"> </w:t>
      </w:r>
      <w:r w:rsidR="0005101F">
        <w:rPr>
          <w:lang w:val="en-US"/>
        </w:rPr>
        <w:t xml:space="preserve">transmission </w:t>
      </w:r>
      <w:r>
        <w:rPr>
          <w:lang w:val="en-US"/>
        </w:rPr>
        <w:t xml:space="preserve">procedure. </w:t>
      </w:r>
      <w:bookmarkStart w:id="2" w:name="_Hlk4752509"/>
      <w:r>
        <w:rPr>
          <w:lang w:val="en-US"/>
        </w:rPr>
        <w:t>One of the agreed solutions for UL RX beam management is to u</w:t>
      </w:r>
      <w:r w:rsidRPr="00F80C0A">
        <w:rPr>
          <w:lang w:val="en-US"/>
        </w:rPr>
        <w:t>se UL beam alignment at FR2 through DL reception and beam correspondence.</w:t>
      </w:r>
      <w:r>
        <w:rPr>
          <w:lang w:val="en-US"/>
        </w:rPr>
        <w:t xml:space="preserve"> It is true that the DL beam correspondence is a simple way to obtain beam correspondence for UL, but a </w:t>
      </w:r>
      <w:r>
        <w:rPr>
          <w:rFonts w:eastAsia="Times New Roman"/>
          <w:lang w:eastAsia="zh-CN"/>
        </w:rPr>
        <w:t>UE may not measure the SSB/DL PRS of all the cells that want to try to receive it for UL positioning.</w:t>
      </w:r>
      <w:bookmarkEnd w:id="2"/>
      <w:r>
        <w:rPr>
          <w:rFonts w:eastAsia="Times New Roman"/>
          <w:lang w:eastAsia="zh-CN"/>
        </w:rPr>
        <w:t xml:space="preserve"> </w:t>
      </w:r>
      <w:proofErr w:type="gramStart"/>
      <w:r>
        <w:rPr>
          <w:rFonts w:eastAsia="Times New Roman"/>
          <w:lang w:eastAsia="zh-CN"/>
        </w:rPr>
        <w:t>Moreover</w:t>
      </w:r>
      <w:proofErr w:type="gramEnd"/>
      <w:r>
        <w:rPr>
          <w:rFonts w:eastAsia="Times New Roman"/>
          <w:lang w:eastAsia="zh-CN"/>
        </w:rPr>
        <w:t xml:space="preserve"> if LMF intends to make specific measurements through a further narrow beam (i.e. for AoA measurement case), DL beam correspondence needs additional CSI-RS resource configurations through RRC signalling. It may also be costly for the UE to measure the SSB for every cell it wants to use for positioning. In this way, if wanting to increase the number of measurement points, a high measurement load is caused at the UE side for UL positioning, we think such procedure mitigates the benefit of UL positioning methods, which has little/no dependency on DL resources for UL measurements.</w:t>
      </w:r>
    </w:p>
    <w:p w14:paraId="0ADFAF33" w14:textId="574BA2DF" w:rsidR="002064BB" w:rsidRDefault="002064BB" w:rsidP="002064BB">
      <w:pPr>
        <w:rPr>
          <w:rFonts w:eastAsia="Times New Roman"/>
          <w:lang w:eastAsia="zh-CN"/>
        </w:rPr>
      </w:pPr>
      <w:r w:rsidRPr="001A53D4">
        <w:rPr>
          <w:rFonts w:eastAsia="Times New Roman"/>
          <w:b/>
          <w:bCs/>
          <w:lang w:eastAsia="zh-CN"/>
        </w:rPr>
        <w:lastRenderedPageBreak/>
        <w:t xml:space="preserve">Observation </w:t>
      </w:r>
      <w:r w:rsidR="00103E15">
        <w:rPr>
          <w:rFonts w:eastAsia="Times New Roman"/>
          <w:b/>
          <w:bCs/>
          <w:lang w:eastAsia="zh-CN"/>
        </w:rPr>
        <w:t>1</w:t>
      </w:r>
      <w:r>
        <w:rPr>
          <w:rFonts w:eastAsia="Times New Roman"/>
          <w:lang w:eastAsia="zh-CN"/>
        </w:rPr>
        <w:t xml:space="preserve">: Although </w:t>
      </w:r>
      <w:r w:rsidRPr="00C2546B">
        <w:rPr>
          <w:lang w:val="en-US"/>
        </w:rPr>
        <w:t>use of UL beam alignment at FR2 through DL reception and beam correspondence</w:t>
      </w:r>
      <w:r>
        <w:rPr>
          <w:rFonts w:eastAsia="Times New Roman"/>
          <w:lang w:eastAsia="zh-CN"/>
        </w:rPr>
        <w:t xml:space="preserve"> is one of the straightforward solutions,</w:t>
      </w:r>
      <w:r>
        <w:rPr>
          <w:lang w:val="en-US"/>
        </w:rPr>
        <w:t xml:space="preserve"> a </w:t>
      </w:r>
      <w:r>
        <w:rPr>
          <w:rFonts w:eastAsia="Times New Roman"/>
          <w:lang w:eastAsia="zh-CN"/>
        </w:rPr>
        <w:t>UE may not measure the SSB/CSI-RS of all the cells that want to try to receive it for UL positioning.</w:t>
      </w:r>
    </w:p>
    <w:p w14:paraId="4250FCC3" w14:textId="3A7B590D" w:rsidR="002064BB" w:rsidRDefault="002064BB" w:rsidP="002064BB">
      <w:pPr>
        <w:rPr>
          <w:rFonts w:eastAsia="Times New Roman"/>
          <w:lang w:eastAsia="zh-CN"/>
        </w:rPr>
      </w:pPr>
      <w:r>
        <w:rPr>
          <w:rFonts w:eastAsia="Times New Roman"/>
          <w:lang w:eastAsia="zh-CN"/>
        </w:rPr>
        <w:t xml:space="preserve">UL beam alignment can be used in scenarios where it is </w:t>
      </w:r>
      <w:proofErr w:type="gramStart"/>
      <w:r>
        <w:rPr>
          <w:rFonts w:eastAsia="Times New Roman"/>
          <w:lang w:eastAsia="zh-CN"/>
        </w:rPr>
        <w:t>sufficient</w:t>
      </w:r>
      <w:proofErr w:type="gramEnd"/>
      <w:r>
        <w:rPr>
          <w:rFonts w:eastAsia="Times New Roman"/>
          <w:lang w:eastAsia="zh-CN"/>
        </w:rPr>
        <w:t xml:space="preserve"> for positioning based on the number of cells the UE is aligned to and the positioning requirements. In the case where UL beam alignment is not </w:t>
      </w:r>
      <w:proofErr w:type="gramStart"/>
      <w:r>
        <w:rPr>
          <w:rFonts w:eastAsia="Times New Roman"/>
          <w:lang w:eastAsia="zh-CN"/>
        </w:rPr>
        <w:t>sufficient</w:t>
      </w:r>
      <w:proofErr w:type="gramEnd"/>
      <w:r>
        <w:rPr>
          <w:rFonts w:eastAsia="Times New Roman"/>
          <w:lang w:eastAsia="zh-CN"/>
        </w:rPr>
        <w:t xml:space="preserve"> then the </w:t>
      </w:r>
      <w:proofErr w:type="spellStart"/>
      <w:r>
        <w:rPr>
          <w:rFonts w:eastAsia="Times New Roman"/>
          <w:lang w:eastAsia="zh-CN"/>
        </w:rPr>
        <w:t>neighboring</w:t>
      </w:r>
      <w:proofErr w:type="spellEnd"/>
      <w:r>
        <w:rPr>
          <w:rFonts w:eastAsia="Times New Roman"/>
          <w:lang w:eastAsia="zh-CN"/>
        </w:rPr>
        <w:t xml:space="preserve"> gNBs may need to perform RX beam sweeping in order to accurately estimate either the angle of arrival or time of arrival from the UE. In the case where not enough cells can hear the UE the LMF may need to trigger /request a larger </w:t>
      </w:r>
      <w:proofErr w:type="spellStart"/>
      <w:r>
        <w:rPr>
          <w:rFonts w:eastAsia="Times New Roman"/>
          <w:lang w:eastAsia="zh-CN"/>
        </w:rPr>
        <w:t>reptition</w:t>
      </w:r>
      <w:proofErr w:type="spellEnd"/>
      <w:r>
        <w:rPr>
          <w:rFonts w:eastAsia="Times New Roman"/>
          <w:lang w:eastAsia="zh-CN"/>
        </w:rPr>
        <w:t xml:space="preserve"> factor of the SRS. </w:t>
      </w:r>
      <w:proofErr w:type="gramStart"/>
      <w:r w:rsidR="0005101F">
        <w:rPr>
          <w:rFonts w:eastAsia="Times New Roman"/>
          <w:lang w:eastAsia="zh-CN"/>
        </w:rPr>
        <w:t>In particular the</w:t>
      </w:r>
      <w:proofErr w:type="gramEnd"/>
      <w:r w:rsidR="0005101F">
        <w:rPr>
          <w:rFonts w:eastAsia="Times New Roman"/>
          <w:lang w:eastAsia="zh-CN"/>
        </w:rPr>
        <w:t xml:space="preserve"> UL link budget may be quite limited at FR2 (especially for neighbour cells) and this will cause even fewer cells to be able to make high quality measurements on the SRS for positioning. </w:t>
      </w:r>
    </w:p>
    <w:p w14:paraId="29141E31" w14:textId="1A076C3D" w:rsidR="0005101F" w:rsidRDefault="0005101F" w:rsidP="002064BB">
      <w:pPr>
        <w:rPr>
          <w:rFonts w:eastAsia="Times New Roman"/>
          <w:lang w:eastAsia="zh-CN"/>
        </w:rPr>
      </w:pPr>
      <w:r w:rsidRPr="0005101F">
        <w:rPr>
          <w:rFonts w:eastAsia="Times New Roman"/>
          <w:b/>
          <w:lang w:eastAsia="zh-CN"/>
        </w:rPr>
        <w:t xml:space="preserve">Observation </w:t>
      </w:r>
      <w:r w:rsidR="00103E15">
        <w:rPr>
          <w:rFonts w:eastAsia="Times New Roman"/>
          <w:b/>
          <w:lang w:eastAsia="zh-CN"/>
        </w:rPr>
        <w:t>2</w:t>
      </w:r>
      <w:r w:rsidRPr="0005101F">
        <w:rPr>
          <w:rFonts w:eastAsia="Times New Roman"/>
          <w:b/>
          <w:lang w:eastAsia="zh-CN"/>
        </w:rPr>
        <w:t>:</w:t>
      </w:r>
      <w:r>
        <w:rPr>
          <w:rFonts w:eastAsia="Times New Roman"/>
          <w:lang w:eastAsia="zh-CN"/>
        </w:rPr>
        <w:t xml:space="preserve"> The UL link budget at FR2 may limit the number of cells which can perform measurements on SRS for positioning. </w:t>
      </w:r>
    </w:p>
    <w:p w14:paraId="3B81B4C6" w14:textId="4B24F6F6" w:rsidR="0005101F" w:rsidRDefault="002064BB" w:rsidP="002064BB">
      <w:pPr>
        <w:rPr>
          <w:rFonts w:eastAsia="Times New Roman"/>
          <w:lang w:eastAsia="zh-CN"/>
        </w:rPr>
      </w:pPr>
      <w:r>
        <w:rPr>
          <w:rFonts w:eastAsia="Times New Roman"/>
          <w:lang w:eastAsia="zh-CN"/>
        </w:rPr>
        <w:t xml:space="preserve">In the equivalent for the DL there is the notion of Repetition ON for CSI-RS which the UE can use to help it determine the correct RX beam to use. </w:t>
      </w:r>
      <w:proofErr w:type="gramStart"/>
      <w:r>
        <w:rPr>
          <w:rFonts w:eastAsia="Times New Roman"/>
          <w:lang w:eastAsia="zh-CN"/>
        </w:rPr>
        <w:t>In order for</w:t>
      </w:r>
      <w:proofErr w:type="gramEnd"/>
      <w:r>
        <w:rPr>
          <w:rFonts w:eastAsia="Times New Roman"/>
          <w:lang w:eastAsia="zh-CN"/>
        </w:rPr>
        <w:t xml:space="preserve"> the </w:t>
      </w:r>
      <w:proofErr w:type="spellStart"/>
      <w:r>
        <w:rPr>
          <w:rFonts w:eastAsia="Times New Roman"/>
          <w:lang w:eastAsia="zh-CN"/>
        </w:rPr>
        <w:t>neighboring</w:t>
      </w:r>
      <w:proofErr w:type="spellEnd"/>
      <w:r>
        <w:rPr>
          <w:rFonts w:eastAsia="Times New Roman"/>
          <w:lang w:eastAsia="zh-CN"/>
        </w:rPr>
        <w:t xml:space="preserve"> gNBs to determine the correct RX beam to use they may need to perform RX beam sweeping. For the neighbour gNB to perform this gNB RX beam sweeping in a meaningful way the UE needs to send using the same TX beam during the sweeping. One possibility is for the network (i.e., LMF) to request a type of SRS Repetition ON. </w:t>
      </w:r>
    </w:p>
    <w:p w14:paraId="16CBD5C0" w14:textId="713C2EF2" w:rsidR="002064BB" w:rsidRDefault="002064BB" w:rsidP="002064BB">
      <w:pPr>
        <w:spacing w:afterLines="50" w:after="120"/>
        <w:rPr>
          <w:rFonts w:eastAsia="Times New Roman"/>
          <w:lang w:eastAsia="zh-CN"/>
        </w:rPr>
      </w:pPr>
      <w:r w:rsidRPr="00E24618">
        <w:rPr>
          <w:rFonts w:eastAsia="Times New Roman"/>
          <w:b/>
          <w:lang w:eastAsia="zh-CN"/>
        </w:rPr>
        <w:t xml:space="preserve">Proposal </w:t>
      </w:r>
      <w:r w:rsidR="00103E15">
        <w:rPr>
          <w:rFonts w:eastAsia="Times New Roman"/>
          <w:b/>
          <w:lang w:eastAsia="zh-CN"/>
        </w:rPr>
        <w:t>1</w:t>
      </w:r>
      <w:r>
        <w:rPr>
          <w:rFonts w:eastAsia="Times New Roman"/>
          <w:lang w:eastAsia="zh-CN"/>
        </w:rPr>
        <w:t>: Support gNB RX beam sweeping</w:t>
      </w:r>
      <w:r w:rsidR="0005101F">
        <w:rPr>
          <w:rFonts w:eastAsia="Times New Roman"/>
          <w:lang w:eastAsia="zh-CN"/>
        </w:rPr>
        <w:t xml:space="preserve"> during transmission of SRS for positioning</w:t>
      </w:r>
      <w:r>
        <w:rPr>
          <w:rFonts w:eastAsia="Times New Roman"/>
          <w:lang w:eastAsia="zh-CN"/>
        </w:rPr>
        <w:t xml:space="preserve"> including LMF request of number of SRS repeated transmissions. </w:t>
      </w:r>
    </w:p>
    <w:p w14:paraId="24D3DAAD" w14:textId="750B79A5" w:rsidR="002064BB" w:rsidRDefault="002064BB" w:rsidP="002064BB">
      <w:pPr>
        <w:spacing w:afterLines="50" w:after="120"/>
      </w:pPr>
      <w:r w:rsidRPr="00A24692">
        <w:rPr>
          <w:b/>
        </w:rPr>
        <w:t xml:space="preserve">Proposal </w:t>
      </w:r>
      <w:r w:rsidR="00103E15">
        <w:rPr>
          <w:b/>
        </w:rPr>
        <w:t>2</w:t>
      </w:r>
      <w:r>
        <w:t>: Support UE indication of SRS TX Repetition ON</w:t>
      </w:r>
      <w:r w:rsidR="0005101F">
        <w:t xml:space="preserve"> (i.e., SRS for positioning using the same beam)</w:t>
      </w:r>
      <w:r>
        <w:t xml:space="preserve"> with signalling to facilitate RX beam sweeping at gNBs on SRS for positioning. </w:t>
      </w:r>
    </w:p>
    <w:p w14:paraId="6E78F3F7" w14:textId="77777777" w:rsidR="002064BB" w:rsidRDefault="002064BB" w:rsidP="002064BB">
      <w:pPr>
        <w:spacing w:afterLines="50" w:after="120"/>
      </w:pPr>
      <w:r>
        <w:t xml:space="preserve">One option for UE indication of SRS TX Repetition ON is for the UE to indicate to the serving gNB that it will use the same TX beam for a certain subset of SRS resources. The serving gNB can then report this to the LMF when it informs the LMF of the SRS configuration details via </w:t>
      </w:r>
      <w:proofErr w:type="spellStart"/>
      <w:r>
        <w:t>NRPPa</w:t>
      </w:r>
      <w:proofErr w:type="spellEnd"/>
      <w:r>
        <w:t xml:space="preserve">. Then the </w:t>
      </w:r>
      <w:proofErr w:type="spellStart"/>
      <w:r>
        <w:t>neighboring</w:t>
      </w:r>
      <w:proofErr w:type="spellEnd"/>
      <w:r>
        <w:t xml:space="preserve"> gNBs will be informed of the SRS configuration details by LMF and will be able to facilitate RX beam sweeping if desired. </w:t>
      </w:r>
    </w:p>
    <w:p w14:paraId="3E1B85DD" w14:textId="20A8514D" w:rsidR="002064BB" w:rsidRDefault="002064BB" w:rsidP="002064BB">
      <w:pPr>
        <w:pStyle w:val="Heading2"/>
        <w:rPr>
          <w:lang w:val="en-US"/>
        </w:rPr>
      </w:pPr>
      <w:r>
        <w:rPr>
          <w:lang w:val="en-US"/>
        </w:rPr>
        <w:t>Expected RSTD</w:t>
      </w:r>
    </w:p>
    <w:p w14:paraId="40EB3BA3" w14:textId="62EECF73" w:rsidR="002064BB" w:rsidRDefault="002064BB" w:rsidP="002064BB">
      <w:pPr>
        <w:rPr>
          <w:lang w:val="en-US"/>
        </w:rPr>
      </w:pPr>
      <w:r>
        <w:rPr>
          <w:lang w:val="en-US"/>
        </w:rPr>
        <w:t>At RAN1#98 the following agreement was reached</w:t>
      </w:r>
    </w:p>
    <w:tbl>
      <w:tblPr>
        <w:tblStyle w:val="TableGrid"/>
        <w:tblW w:w="0" w:type="auto"/>
        <w:tblLook w:val="04A0" w:firstRow="1" w:lastRow="0" w:firstColumn="1" w:lastColumn="0" w:noHBand="0" w:noVBand="1"/>
      </w:tblPr>
      <w:tblGrid>
        <w:gridCol w:w="9629"/>
      </w:tblGrid>
      <w:tr w:rsidR="002064BB" w14:paraId="7A4043B9" w14:textId="77777777" w:rsidTr="00506E91">
        <w:tc>
          <w:tcPr>
            <w:tcW w:w="9629" w:type="dxa"/>
          </w:tcPr>
          <w:p w14:paraId="29913309" w14:textId="77777777" w:rsidR="002064BB" w:rsidRPr="002064BB" w:rsidRDefault="002064BB" w:rsidP="002064BB">
            <w:r w:rsidRPr="002064BB">
              <w:rPr>
                <w:highlight w:val="green"/>
              </w:rPr>
              <w:t>Agreement</w:t>
            </w:r>
            <w:r w:rsidRPr="002064BB">
              <w:t>:</w:t>
            </w:r>
          </w:p>
          <w:p w14:paraId="425FB90F" w14:textId="77777777" w:rsidR="002064BB" w:rsidRPr="002064BB" w:rsidRDefault="002064BB" w:rsidP="002064BB">
            <w:r w:rsidRPr="002064BB">
              <w:t xml:space="preserve">For providing an indication of when the DL PRSs are expected to arrive in time at the UE, at least one of the following options is supported: </w:t>
            </w:r>
          </w:p>
          <w:p w14:paraId="642379EE" w14:textId="05EBEDA5" w:rsidR="002064BB" w:rsidRDefault="002064BB" w:rsidP="002064BB">
            <w:pPr>
              <w:pStyle w:val="ListParagraph"/>
              <w:numPr>
                <w:ilvl w:val="0"/>
                <w:numId w:val="48"/>
              </w:numPr>
              <w:rPr>
                <w:sz w:val="20"/>
              </w:rPr>
            </w:pPr>
            <w:r w:rsidRPr="002064BB">
              <w:rPr>
                <w:sz w:val="20"/>
              </w:rPr>
              <w:t xml:space="preserve">Option 1: </w:t>
            </w:r>
            <w:proofErr w:type="spellStart"/>
            <w:r w:rsidRPr="002064BB">
              <w:rPr>
                <w:sz w:val="20"/>
              </w:rPr>
              <w:t>Provide</w:t>
            </w:r>
            <w:proofErr w:type="spellEnd"/>
            <w:r w:rsidRPr="002064BB">
              <w:rPr>
                <w:sz w:val="20"/>
              </w:rPr>
              <w:t xml:space="preserve"> an </w:t>
            </w:r>
            <w:proofErr w:type="spellStart"/>
            <w:r w:rsidRPr="002064BB">
              <w:rPr>
                <w:sz w:val="20"/>
              </w:rPr>
              <w:t>expected</w:t>
            </w:r>
            <w:proofErr w:type="spellEnd"/>
            <w:r w:rsidRPr="002064BB">
              <w:rPr>
                <w:sz w:val="20"/>
              </w:rPr>
              <w:t xml:space="preserve"> RSTD </w:t>
            </w:r>
            <w:proofErr w:type="spellStart"/>
            <w:r w:rsidRPr="002064BB">
              <w:rPr>
                <w:sz w:val="20"/>
              </w:rPr>
              <w:t>value</w:t>
            </w:r>
            <w:proofErr w:type="spellEnd"/>
            <w:r w:rsidRPr="002064BB">
              <w:rPr>
                <w:sz w:val="20"/>
              </w:rPr>
              <w:t xml:space="preserve"> </w:t>
            </w:r>
            <w:proofErr w:type="spellStart"/>
            <w:r w:rsidRPr="002064BB">
              <w:rPr>
                <w:sz w:val="20"/>
              </w:rPr>
              <w:t>together</w:t>
            </w:r>
            <w:proofErr w:type="spellEnd"/>
            <w:r w:rsidRPr="002064BB">
              <w:rPr>
                <w:sz w:val="20"/>
              </w:rPr>
              <w:t xml:space="preserve"> </w:t>
            </w:r>
            <w:proofErr w:type="spellStart"/>
            <w:r w:rsidRPr="002064BB">
              <w:rPr>
                <w:sz w:val="20"/>
              </w:rPr>
              <w:t>with</w:t>
            </w:r>
            <w:proofErr w:type="spellEnd"/>
            <w:r w:rsidRPr="002064BB">
              <w:rPr>
                <w:sz w:val="20"/>
              </w:rPr>
              <w:t xml:space="preserve"> </w:t>
            </w:r>
            <w:proofErr w:type="spellStart"/>
            <w:r w:rsidRPr="002064BB">
              <w:rPr>
                <w:sz w:val="20"/>
              </w:rPr>
              <w:t>uncertainty</w:t>
            </w:r>
            <w:proofErr w:type="spellEnd"/>
            <w:r w:rsidRPr="002064BB">
              <w:rPr>
                <w:sz w:val="20"/>
              </w:rPr>
              <w:t xml:space="preserve"> (</w:t>
            </w:r>
            <w:proofErr w:type="spellStart"/>
            <w:r w:rsidRPr="002064BB">
              <w:rPr>
                <w:sz w:val="20"/>
              </w:rPr>
              <w:t>search</w:t>
            </w:r>
            <w:proofErr w:type="spellEnd"/>
            <w:r w:rsidRPr="002064BB">
              <w:rPr>
                <w:sz w:val="20"/>
              </w:rPr>
              <w:t xml:space="preserve"> </w:t>
            </w:r>
            <w:proofErr w:type="spellStart"/>
            <w:r w:rsidRPr="002064BB">
              <w:rPr>
                <w:sz w:val="20"/>
              </w:rPr>
              <w:t>window</w:t>
            </w:r>
            <w:proofErr w:type="spellEnd"/>
            <w:r w:rsidRPr="002064BB">
              <w:rPr>
                <w:sz w:val="20"/>
              </w:rPr>
              <w:t xml:space="preserve">) to </w:t>
            </w:r>
            <w:proofErr w:type="spellStart"/>
            <w:r w:rsidRPr="002064BB">
              <w:rPr>
                <w:sz w:val="20"/>
              </w:rPr>
              <w:t>the</w:t>
            </w:r>
            <w:proofErr w:type="spellEnd"/>
            <w:r w:rsidRPr="002064BB">
              <w:rPr>
                <w:sz w:val="20"/>
              </w:rPr>
              <w:t xml:space="preserve"> UE for </w:t>
            </w:r>
            <w:proofErr w:type="spellStart"/>
            <w:r w:rsidRPr="002064BB">
              <w:rPr>
                <w:sz w:val="20"/>
              </w:rPr>
              <w:t>the</w:t>
            </w:r>
            <w:proofErr w:type="spellEnd"/>
            <w:r w:rsidRPr="002064BB">
              <w:rPr>
                <w:sz w:val="20"/>
              </w:rPr>
              <w:t xml:space="preserve"> </w:t>
            </w:r>
            <w:proofErr w:type="spellStart"/>
            <w:r w:rsidRPr="002064BB">
              <w:rPr>
                <w:sz w:val="20"/>
              </w:rPr>
              <w:t>TRPs</w:t>
            </w:r>
            <w:proofErr w:type="spellEnd"/>
            <w:r w:rsidRPr="002064BB">
              <w:rPr>
                <w:sz w:val="20"/>
              </w:rPr>
              <w:t xml:space="preserve"> in </w:t>
            </w:r>
            <w:proofErr w:type="spellStart"/>
            <w:r w:rsidRPr="002064BB">
              <w:rPr>
                <w:sz w:val="20"/>
              </w:rPr>
              <w:t>the</w:t>
            </w:r>
            <w:proofErr w:type="spellEnd"/>
            <w:r w:rsidRPr="002064BB">
              <w:rPr>
                <w:sz w:val="20"/>
              </w:rPr>
              <w:t xml:space="preserve"> </w:t>
            </w:r>
            <w:proofErr w:type="spellStart"/>
            <w:r w:rsidRPr="002064BB">
              <w:rPr>
                <w:sz w:val="20"/>
              </w:rPr>
              <w:t>assistance</w:t>
            </w:r>
            <w:proofErr w:type="spellEnd"/>
            <w:r w:rsidRPr="002064BB">
              <w:rPr>
                <w:sz w:val="20"/>
              </w:rPr>
              <w:t xml:space="preserve"> data (</w:t>
            </w:r>
            <w:proofErr w:type="spellStart"/>
            <w:r w:rsidRPr="002064BB">
              <w:rPr>
                <w:sz w:val="20"/>
              </w:rPr>
              <w:t>analogous</w:t>
            </w:r>
            <w:proofErr w:type="spellEnd"/>
            <w:r w:rsidRPr="002064BB">
              <w:rPr>
                <w:sz w:val="20"/>
              </w:rPr>
              <w:t xml:space="preserve"> to LTE).</w:t>
            </w:r>
          </w:p>
          <w:p w14:paraId="3C8E0812" w14:textId="77777777" w:rsidR="002064BB" w:rsidRPr="002064BB" w:rsidRDefault="002064BB" w:rsidP="002064BB">
            <w:pPr>
              <w:pStyle w:val="ListParagraph"/>
              <w:numPr>
                <w:ilvl w:val="0"/>
                <w:numId w:val="48"/>
              </w:numPr>
              <w:rPr>
                <w:sz w:val="16"/>
              </w:rPr>
            </w:pPr>
            <w:r w:rsidRPr="002064BB">
              <w:rPr>
                <w:sz w:val="20"/>
              </w:rPr>
              <w:t xml:space="preserve">Option 2: </w:t>
            </w:r>
            <w:proofErr w:type="spellStart"/>
            <w:r w:rsidRPr="002064BB">
              <w:rPr>
                <w:sz w:val="20"/>
              </w:rPr>
              <w:t>Provide</w:t>
            </w:r>
            <w:proofErr w:type="spellEnd"/>
            <w:r w:rsidRPr="002064BB">
              <w:rPr>
                <w:sz w:val="20"/>
              </w:rPr>
              <w:t xml:space="preserve"> a TRP transmission </w:t>
            </w:r>
            <w:proofErr w:type="spellStart"/>
            <w:r w:rsidRPr="002064BB">
              <w:rPr>
                <w:sz w:val="20"/>
              </w:rPr>
              <w:t>time</w:t>
            </w:r>
            <w:proofErr w:type="spellEnd"/>
            <w:r w:rsidRPr="002064BB">
              <w:rPr>
                <w:sz w:val="20"/>
              </w:rPr>
              <w:t xml:space="preserve"> </w:t>
            </w:r>
            <w:proofErr w:type="spellStart"/>
            <w:r w:rsidRPr="002064BB">
              <w:rPr>
                <w:sz w:val="20"/>
              </w:rPr>
              <w:t>difference</w:t>
            </w:r>
            <w:proofErr w:type="spellEnd"/>
            <w:r w:rsidRPr="002064BB">
              <w:rPr>
                <w:sz w:val="20"/>
              </w:rPr>
              <w:t xml:space="preserve"> (</w:t>
            </w:r>
            <w:proofErr w:type="spellStart"/>
            <w:r w:rsidRPr="002064BB">
              <w:rPr>
                <w:sz w:val="20"/>
              </w:rPr>
              <w:t>e.g</w:t>
            </w:r>
            <w:proofErr w:type="spellEnd"/>
            <w:r w:rsidRPr="002064BB">
              <w:rPr>
                <w:sz w:val="20"/>
              </w:rPr>
              <w:t xml:space="preserve">., </w:t>
            </w:r>
            <w:proofErr w:type="spellStart"/>
            <w:r w:rsidRPr="002064BB">
              <w:rPr>
                <w:sz w:val="20"/>
              </w:rPr>
              <w:t>time</w:t>
            </w:r>
            <w:proofErr w:type="spellEnd"/>
            <w:r w:rsidRPr="002064BB">
              <w:rPr>
                <w:sz w:val="20"/>
              </w:rPr>
              <w:t xml:space="preserve"> offset </w:t>
            </w:r>
            <w:proofErr w:type="spellStart"/>
            <w:r w:rsidRPr="002064BB">
              <w:rPr>
                <w:sz w:val="20"/>
              </w:rPr>
              <w:t>between</w:t>
            </w:r>
            <w:proofErr w:type="spellEnd"/>
            <w:r w:rsidRPr="002064BB">
              <w:rPr>
                <w:sz w:val="20"/>
              </w:rPr>
              <w:t xml:space="preserve"> SFN#0, </w:t>
            </w:r>
            <w:proofErr w:type="spellStart"/>
            <w:r w:rsidRPr="002064BB">
              <w:rPr>
                <w:sz w:val="20"/>
              </w:rPr>
              <w:t>subframe</w:t>
            </w:r>
            <w:proofErr w:type="spellEnd"/>
            <w:r w:rsidRPr="002064BB">
              <w:rPr>
                <w:sz w:val="20"/>
              </w:rPr>
              <w:t xml:space="preserve"> offset, </w:t>
            </w:r>
            <w:proofErr w:type="spellStart"/>
            <w:r w:rsidRPr="002064BB">
              <w:rPr>
                <w:sz w:val="20"/>
              </w:rPr>
              <w:t>slot</w:t>
            </w:r>
            <w:proofErr w:type="spellEnd"/>
            <w:r w:rsidRPr="002064BB">
              <w:rPr>
                <w:sz w:val="20"/>
              </w:rPr>
              <w:t xml:space="preserve">-, </w:t>
            </w:r>
            <w:proofErr w:type="spellStart"/>
            <w:r w:rsidRPr="002064BB">
              <w:rPr>
                <w:sz w:val="20"/>
              </w:rPr>
              <w:t>symbol</w:t>
            </w:r>
            <w:proofErr w:type="spellEnd"/>
            <w:r w:rsidRPr="002064BB">
              <w:rPr>
                <w:sz w:val="20"/>
              </w:rPr>
              <w:t xml:space="preserve">-, </w:t>
            </w:r>
            <w:proofErr w:type="spellStart"/>
            <w:r w:rsidRPr="002064BB">
              <w:rPr>
                <w:sz w:val="20"/>
              </w:rPr>
              <w:t>sub-symbol</w:t>
            </w:r>
            <w:proofErr w:type="spellEnd"/>
            <w:r w:rsidRPr="002064BB">
              <w:rPr>
                <w:sz w:val="20"/>
              </w:rPr>
              <w:t xml:space="preserve">-,  </w:t>
            </w:r>
            <w:proofErr w:type="spellStart"/>
            <w:r w:rsidRPr="002064BB">
              <w:rPr>
                <w:sz w:val="20"/>
              </w:rPr>
              <w:t>ns</w:t>
            </w:r>
            <w:proofErr w:type="spellEnd"/>
            <w:r w:rsidRPr="002064BB">
              <w:rPr>
                <w:sz w:val="20"/>
              </w:rPr>
              <w:t xml:space="preserve">-offset, etc.) and </w:t>
            </w:r>
            <w:proofErr w:type="spellStart"/>
            <w:r w:rsidRPr="002064BB">
              <w:rPr>
                <w:sz w:val="20"/>
              </w:rPr>
              <w:t>expected</w:t>
            </w:r>
            <w:proofErr w:type="spellEnd"/>
            <w:r w:rsidRPr="002064BB">
              <w:rPr>
                <w:sz w:val="20"/>
              </w:rPr>
              <w:t xml:space="preserve"> </w:t>
            </w:r>
            <w:proofErr w:type="spellStart"/>
            <w:r w:rsidRPr="002064BB">
              <w:rPr>
                <w:sz w:val="20"/>
              </w:rPr>
              <w:t>propagation</w:t>
            </w:r>
            <w:proofErr w:type="spellEnd"/>
            <w:r w:rsidRPr="002064BB">
              <w:rPr>
                <w:sz w:val="20"/>
              </w:rPr>
              <w:t xml:space="preserve"> </w:t>
            </w:r>
            <w:proofErr w:type="spellStart"/>
            <w:r w:rsidRPr="002064BB">
              <w:rPr>
                <w:sz w:val="20"/>
              </w:rPr>
              <w:t>delay</w:t>
            </w:r>
            <w:proofErr w:type="spellEnd"/>
            <w:r w:rsidRPr="002064BB">
              <w:rPr>
                <w:sz w:val="20"/>
              </w:rPr>
              <w:t xml:space="preserve"> </w:t>
            </w:r>
            <w:proofErr w:type="spellStart"/>
            <w:r w:rsidRPr="002064BB">
              <w:rPr>
                <w:sz w:val="20"/>
              </w:rPr>
              <w:t>difference</w:t>
            </w:r>
            <w:proofErr w:type="spellEnd"/>
            <w:r w:rsidRPr="002064BB">
              <w:rPr>
                <w:sz w:val="20"/>
              </w:rPr>
              <w:t xml:space="preserve"> </w:t>
            </w:r>
            <w:proofErr w:type="spellStart"/>
            <w:r w:rsidRPr="002064BB">
              <w:rPr>
                <w:sz w:val="20"/>
              </w:rPr>
              <w:t>together</w:t>
            </w:r>
            <w:proofErr w:type="spellEnd"/>
            <w:r w:rsidRPr="002064BB">
              <w:rPr>
                <w:sz w:val="20"/>
              </w:rPr>
              <w:t xml:space="preserve"> </w:t>
            </w:r>
            <w:proofErr w:type="spellStart"/>
            <w:r w:rsidRPr="002064BB">
              <w:rPr>
                <w:sz w:val="20"/>
              </w:rPr>
              <w:t>with</w:t>
            </w:r>
            <w:proofErr w:type="spellEnd"/>
            <w:r w:rsidRPr="002064BB">
              <w:rPr>
                <w:sz w:val="20"/>
              </w:rPr>
              <w:t xml:space="preserve"> </w:t>
            </w:r>
            <w:proofErr w:type="spellStart"/>
            <w:r w:rsidRPr="002064BB">
              <w:rPr>
                <w:sz w:val="20"/>
              </w:rPr>
              <w:t>uncertainty</w:t>
            </w:r>
            <w:proofErr w:type="spellEnd"/>
            <w:r w:rsidRPr="002064BB">
              <w:rPr>
                <w:sz w:val="20"/>
              </w:rPr>
              <w:t xml:space="preserve"> (</w:t>
            </w:r>
            <w:proofErr w:type="spellStart"/>
            <w:r w:rsidRPr="002064BB">
              <w:rPr>
                <w:sz w:val="20"/>
              </w:rPr>
              <w:t>search</w:t>
            </w:r>
            <w:proofErr w:type="spellEnd"/>
            <w:r w:rsidRPr="002064BB">
              <w:rPr>
                <w:sz w:val="20"/>
              </w:rPr>
              <w:t xml:space="preserve"> </w:t>
            </w:r>
            <w:proofErr w:type="spellStart"/>
            <w:r w:rsidRPr="002064BB">
              <w:rPr>
                <w:sz w:val="20"/>
              </w:rPr>
              <w:t>window</w:t>
            </w:r>
            <w:proofErr w:type="spellEnd"/>
            <w:r w:rsidRPr="002064BB">
              <w:rPr>
                <w:sz w:val="20"/>
              </w:rPr>
              <w:t xml:space="preserve">) to </w:t>
            </w:r>
            <w:proofErr w:type="spellStart"/>
            <w:r w:rsidRPr="002064BB">
              <w:rPr>
                <w:sz w:val="20"/>
              </w:rPr>
              <w:t>the</w:t>
            </w:r>
            <w:proofErr w:type="spellEnd"/>
            <w:r w:rsidRPr="002064BB">
              <w:rPr>
                <w:sz w:val="20"/>
              </w:rPr>
              <w:t xml:space="preserve"> UE for </w:t>
            </w:r>
            <w:proofErr w:type="spellStart"/>
            <w:r w:rsidRPr="002064BB">
              <w:rPr>
                <w:sz w:val="20"/>
              </w:rPr>
              <w:t>the</w:t>
            </w:r>
            <w:proofErr w:type="spellEnd"/>
            <w:r w:rsidRPr="002064BB">
              <w:rPr>
                <w:sz w:val="20"/>
              </w:rPr>
              <w:t xml:space="preserve"> </w:t>
            </w:r>
            <w:proofErr w:type="spellStart"/>
            <w:r w:rsidRPr="002064BB">
              <w:rPr>
                <w:sz w:val="20"/>
              </w:rPr>
              <w:t>TRPs</w:t>
            </w:r>
            <w:proofErr w:type="spellEnd"/>
            <w:r w:rsidRPr="002064BB">
              <w:rPr>
                <w:sz w:val="20"/>
              </w:rPr>
              <w:t xml:space="preserve"> in </w:t>
            </w:r>
            <w:proofErr w:type="spellStart"/>
            <w:r w:rsidRPr="002064BB">
              <w:rPr>
                <w:sz w:val="20"/>
              </w:rPr>
              <w:t>the</w:t>
            </w:r>
            <w:proofErr w:type="spellEnd"/>
            <w:r w:rsidRPr="002064BB">
              <w:rPr>
                <w:sz w:val="20"/>
              </w:rPr>
              <w:t xml:space="preserve"> </w:t>
            </w:r>
            <w:proofErr w:type="spellStart"/>
            <w:r w:rsidRPr="002064BB">
              <w:rPr>
                <w:sz w:val="20"/>
              </w:rPr>
              <w:t>assistance</w:t>
            </w:r>
            <w:proofErr w:type="spellEnd"/>
            <w:r w:rsidRPr="002064BB">
              <w:rPr>
                <w:sz w:val="20"/>
              </w:rPr>
              <w:t xml:space="preserve"> data. </w:t>
            </w:r>
          </w:p>
          <w:p w14:paraId="389E7B9F" w14:textId="77777777" w:rsidR="002064BB" w:rsidRPr="002064BB" w:rsidRDefault="002064BB" w:rsidP="002064BB">
            <w:pPr>
              <w:pStyle w:val="ListParagraph"/>
              <w:numPr>
                <w:ilvl w:val="1"/>
                <w:numId w:val="48"/>
              </w:numPr>
              <w:rPr>
                <w:sz w:val="12"/>
              </w:rPr>
            </w:pPr>
            <w:r w:rsidRPr="002064BB">
              <w:rPr>
                <w:sz w:val="20"/>
              </w:rPr>
              <w:t xml:space="preserve">A </w:t>
            </w:r>
            <w:proofErr w:type="spellStart"/>
            <w:r w:rsidRPr="002064BB">
              <w:rPr>
                <w:sz w:val="20"/>
              </w:rPr>
              <w:t>search</w:t>
            </w:r>
            <w:proofErr w:type="spellEnd"/>
            <w:r w:rsidRPr="002064BB">
              <w:rPr>
                <w:sz w:val="20"/>
              </w:rPr>
              <w:t xml:space="preserve"> </w:t>
            </w:r>
            <w:proofErr w:type="spellStart"/>
            <w:r w:rsidRPr="002064BB">
              <w:rPr>
                <w:sz w:val="20"/>
              </w:rPr>
              <w:t>window</w:t>
            </w:r>
            <w:proofErr w:type="spellEnd"/>
            <w:r w:rsidRPr="002064BB">
              <w:rPr>
                <w:sz w:val="20"/>
              </w:rPr>
              <w:t xml:space="preserve"> </w:t>
            </w:r>
            <w:proofErr w:type="spellStart"/>
            <w:r w:rsidRPr="002064BB">
              <w:rPr>
                <w:sz w:val="20"/>
              </w:rPr>
              <w:t>may</w:t>
            </w:r>
            <w:proofErr w:type="spellEnd"/>
            <w:r w:rsidRPr="002064BB">
              <w:rPr>
                <w:sz w:val="20"/>
              </w:rPr>
              <w:t xml:space="preserve"> </w:t>
            </w:r>
            <w:proofErr w:type="spellStart"/>
            <w:r w:rsidRPr="002064BB">
              <w:rPr>
                <w:sz w:val="20"/>
              </w:rPr>
              <w:t>be</w:t>
            </w:r>
            <w:proofErr w:type="spellEnd"/>
            <w:r w:rsidRPr="002064BB">
              <w:rPr>
                <w:sz w:val="20"/>
              </w:rPr>
              <w:t xml:space="preserve"> </w:t>
            </w:r>
            <w:proofErr w:type="spellStart"/>
            <w:r w:rsidRPr="002064BB">
              <w:rPr>
                <w:sz w:val="20"/>
              </w:rPr>
              <w:t>needed</w:t>
            </w:r>
            <w:proofErr w:type="spellEnd"/>
            <w:r w:rsidRPr="002064BB">
              <w:rPr>
                <w:sz w:val="20"/>
              </w:rPr>
              <w:t xml:space="preserve"> for </w:t>
            </w:r>
            <w:proofErr w:type="spellStart"/>
            <w:r w:rsidRPr="002064BB">
              <w:rPr>
                <w:sz w:val="20"/>
              </w:rPr>
              <w:t>both</w:t>
            </w:r>
            <w:proofErr w:type="spellEnd"/>
            <w:r w:rsidRPr="002064BB">
              <w:rPr>
                <w:sz w:val="20"/>
              </w:rPr>
              <w:t xml:space="preserve">, TRP transmission </w:t>
            </w:r>
            <w:proofErr w:type="spellStart"/>
            <w:r w:rsidRPr="002064BB">
              <w:rPr>
                <w:sz w:val="20"/>
              </w:rPr>
              <w:t>time</w:t>
            </w:r>
            <w:proofErr w:type="spellEnd"/>
            <w:r w:rsidRPr="002064BB">
              <w:rPr>
                <w:sz w:val="20"/>
              </w:rPr>
              <w:t xml:space="preserve"> </w:t>
            </w:r>
            <w:proofErr w:type="spellStart"/>
            <w:r w:rsidRPr="002064BB">
              <w:rPr>
                <w:sz w:val="20"/>
              </w:rPr>
              <w:t>difference</w:t>
            </w:r>
            <w:proofErr w:type="spellEnd"/>
            <w:r w:rsidRPr="002064BB">
              <w:rPr>
                <w:sz w:val="20"/>
              </w:rPr>
              <w:t xml:space="preserve"> and </w:t>
            </w:r>
            <w:proofErr w:type="spellStart"/>
            <w:r w:rsidRPr="002064BB">
              <w:rPr>
                <w:sz w:val="20"/>
              </w:rPr>
              <w:t>propagation</w:t>
            </w:r>
            <w:proofErr w:type="spellEnd"/>
            <w:r w:rsidRPr="002064BB">
              <w:rPr>
                <w:sz w:val="20"/>
              </w:rPr>
              <w:t xml:space="preserve"> </w:t>
            </w:r>
            <w:proofErr w:type="spellStart"/>
            <w:r w:rsidRPr="002064BB">
              <w:rPr>
                <w:sz w:val="20"/>
              </w:rPr>
              <w:t>time</w:t>
            </w:r>
            <w:proofErr w:type="spellEnd"/>
            <w:r w:rsidRPr="002064BB">
              <w:rPr>
                <w:sz w:val="20"/>
              </w:rPr>
              <w:t xml:space="preserve"> </w:t>
            </w:r>
            <w:proofErr w:type="spellStart"/>
            <w:r w:rsidRPr="002064BB">
              <w:rPr>
                <w:sz w:val="20"/>
              </w:rPr>
              <w:t>difference</w:t>
            </w:r>
            <w:proofErr w:type="spellEnd"/>
            <w:r w:rsidRPr="002064BB">
              <w:rPr>
                <w:sz w:val="20"/>
              </w:rPr>
              <w:t>.</w:t>
            </w:r>
          </w:p>
          <w:p w14:paraId="72852DF0" w14:textId="2042AAC8" w:rsidR="002064BB" w:rsidRPr="002064BB" w:rsidRDefault="002064BB" w:rsidP="002064BB">
            <w:pPr>
              <w:pStyle w:val="ListParagraph"/>
              <w:numPr>
                <w:ilvl w:val="1"/>
                <w:numId w:val="48"/>
              </w:numPr>
              <w:rPr>
                <w:sz w:val="12"/>
              </w:rPr>
            </w:pPr>
            <w:r w:rsidRPr="002064BB">
              <w:rPr>
                <w:sz w:val="20"/>
              </w:rPr>
              <w:t xml:space="preserve">Sub-SFN </w:t>
            </w:r>
            <w:proofErr w:type="spellStart"/>
            <w:r w:rsidRPr="002064BB">
              <w:rPr>
                <w:sz w:val="20"/>
              </w:rPr>
              <w:t>granularity</w:t>
            </w:r>
            <w:proofErr w:type="spellEnd"/>
            <w:r w:rsidRPr="002064BB">
              <w:rPr>
                <w:sz w:val="20"/>
              </w:rPr>
              <w:t xml:space="preserve"> (</w:t>
            </w:r>
            <w:proofErr w:type="spellStart"/>
            <w:r w:rsidRPr="002064BB">
              <w:rPr>
                <w:sz w:val="20"/>
              </w:rPr>
              <w:t>e.g</w:t>
            </w:r>
            <w:proofErr w:type="spellEnd"/>
            <w:r w:rsidRPr="002064BB">
              <w:rPr>
                <w:sz w:val="20"/>
              </w:rPr>
              <w:t xml:space="preserve">, </w:t>
            </w:r>
            <w:proofErr w:type="spellStart"/>
            <w:r w:rsidRPr="002064BB">
              <w:rPr>
                <w:sz w:val="20"/>
              </w:rPr>
              <w:t>subframe</w:t>
            </w:r>
            <w:proofErr w:type="spellEnd"/>
            <w:r w:rsidRPr="002064BB">
              <w:rPr>
                <w:sz w:val="20"/>
              </w:rPr>
              <w:t xml:space="preserve"> offset, </w:t>
            </w:r>
            <w:proofErr w:type="spellStart"/>
            <w:r w:rsidRPr="002064BB">
              <w:rPr>
                <w:sz w:val="20"/>
              </w:rPr>
              <w:t>slot</w:t>
            </w:r>
            <w:proofErr w:type="spellEnd"/>
            <w:r w:rsidRPr="002064BB">
              <w:rPr>
                <w:sz w:val="20"/>
              </w:rPr>
              <w:t xml:space="preserve">-, </w:t>
            </w:r>
            <w:proofErr w:type="spellStart"/>
            <w:r w:rsidRPr="002064BB">
              <w:rPr>
                <w:sz w:val="20"/>
              </w:rPr>
              <w:t>symbol</w:t>
            </w:r>
            <w:proofErr w:type="spellEnd"/>
            <w:r w:rsidRPr="002064BB">
              <w:rPr>
                <w:sz w:val="20"/>
              </w:rPr>
              <w:t xml:space="preserve">-, </w:t>
            </w:r>
            <w:proofErr w:type="spellStart"/>
            <w:r w:rsidRPr="002064BB">
              <w:rPr>
                <w:sz w:val="20"/>
              </w:rPr>
              <w:t>sub-symbol</w:t>
            </w:r>
            <w:proofErr w:type="spellEnd"/>
            <w:r w:rsidRPr="002064BB">
              <w:rPr>
                <w:sz w:val="20"/>
              </w:rPr>
              <w:t xml:space="preserve">-, </w:t>
            </w:r>
            <w:proofErr w:type="spellStart"/>
            <w:r w:rsidRPr="002064BB">
              <w:rPr>
                <w:sz w:val="20"/>
              </w:rPr>
              <w:t>ns</w:t>
            </w:r>
            <w:proofErr w:type="spellEnd"/>
            <w:r w:rsidRPr="002064BB">
              <w:rPr>
                <w:sz w:val="20"/>
              </w:rPr>
              <w:t xml:space="preserve">-offset) </w:t>
            </w:r>
            <w:proofErr w:type="spellStart"/>
            <w:r w:rsidRPr="002064BB">
              <w:rPr>
                <w:sz w:val="20"/>
              </w:rPr>
              <w:t>may</w:t>
            </w:r>
            <w:proofErr w:type="spellEnd"/>
            <w:r w:rsidRPr="002064BB">
              <w:rPr>
                <w:sz w:val="20"/>
              </w:rPr>
              <w:t xml:space="preserve"> </w:t>
            </w:r>
            <w:proofErr w:type="spellStart"/>
            <w:r w:rsidRPr="002064BB">
              <w:rPr>
                <w:sz w:val="20"/>
              </w:rPr>
              <w:t>be</w:t>
            </w:r>
            <w:proofErr w:type="spellEnd"/>
            <w:r w:rsidRPr="002064BB">
              <w:rPr>
                <w:sz w:val="20"/>
              </w:rPr>
              <w:t xml:space="preserve"> </w:t>
            </w:r>
            <w:proofErr w:type="spellStart"/>
            <w:r w:rsidRPr="002064BB">
              <w:rPr>
                <w:sz w:val="20"/>
              </w:rPr>
              <w:t>obtained</w:t>
            </w:r>
            <w:proofErr w:type="spellEnd"/>
            <w:r w:rsidRPr="002064BB">
              <w:rPr>
                <w:sz w:val="20"/>
              </w:rPr>
              <w:t xml:space="preserve"> </w:t>
            </w:r>
            <w:proofErr w:type="spellStart"/>
            <w:r w:rsidRPr="002064BB">
              <w:rPr>
                <w:sz w:val="20"/>
              </w:rPr>
              <w:t>from</w:t>
            </w:r>
            <w:proofErr w:type="spellEnd"/>
            <w:r w:rsidRPr="002064BB">
              <w:rPr>
                <w:sz w:val="20"/>
              </w:rPr>
              <w:t xml:space="preserve"> </w:t>
            </w:r>
            <w:proofErr w:type="spellStart"/>
            <w:r w:rsidRPr="002064BB">
              <w:rPr>
                <w:sz w:val="20"/>
              </w:rPr>
              <w:t>the</w:t>
            </w:r>
            <w:proofErr w:type="spellEnd"/>
            <w:r w:rsidRPr="002064BB">
              <w:rPr>
                <w:sz w:val="20"/>
              </w:rPr>
              <w:t xml:space="preserve"> DL-PRS </w:t>
            </w:r>
            <w:proofErr w:type="spellStart"/>
            <w:r w:rsidRPr="002064BB">
              <w:rPr>
                <w:sz w:val="20"/>
              </w:rPr>
              <w:t>configuration</w:t>
            </w:r>
            <w:proofErr w:type="spellEnd"/>
            <w:r w:rsidRPr="002064BB">
              <w:rPr>
                <w:sz w:val="20"/>
              </w:rPr>
              <w:t xml:space="preserve"> </w:t>
            </w:r>
            <w:proofErr w:type="spellStart"/>
            <w:r w:rsidRPr="002064BB">
              <w:rPr>
                <w:sz w:val="20"/>
              </w:rPr>
              <w:t>information</w:t>
            </w:r>
            <w:proofErr w:type="spellEnd"/>
            <w:r w:rsidRPr="002064BB">
              <w:rPr>
                <w:sz w:val="20"/>
              </w:rPr>
              <w:t xml:space="preserve"> </w:t>
            </w:r>
            <w:proofErr w:type="spellStart"/>
            <w:r w:rsidRPr="002064BB">
              <w:rPr>
                <w:sz w:val="20"/>
              </w:rPr>
              <w:t>once</w:t>
            </w:r>
            <w:proofErr w:type="spellEnd"/>
            <w:r w:rsidRPr="002064BB">
              <w:rPr>
                <w:sz w:val="20"/>
              </w:rPr>
              <w:t xml:space="preserve"> </w:t>
            </w:r>
            <w:proofErr w:type="spellStart"/>
            <w:r w:rsidRPr="002064BB">
              <w:rPr>
                <w:sz w:val="20"/>
              </w:rPr>
              <w:t>time</w:t>
            </w:r>
            <w:proofErr w:type="spellEnd"/>
            <w:r w:rsidRPr="002064BB">
              <w:rPr>
                <w:sz w:val="20"/>
              </w:rPr>
              <w:t xml:space="preserve"> offset </w:t>
            </w:r>
            <w:proofErr w:type="spellStart"/>
            <w:r w:rsidRPr="002064BB">
              <w:rPr>
                <w:sz w:val="20"/>
              </w:rPr>
              <w:t>between</w:t>
            </w:r>
            <w:proofErr w:type="spellEnd"/>
            <w:r w:rsidRPr="002064BB">
              <w:rPr>
                <w:sz w:val="20"/>
              </w:rPr>
              <w:t xml:space="preserve"> SFN#0 is </w:t>
            </w:r>
            <w:proofErr w:type="spellStart"/>
            <w:r w:rsidRPr="002064BB">
              <w:rPr>
                <w:sz w:val="20"/>
              </w:rPr>
              <w:t>provided</w:t>
            </w:r>
            <w:proofErr w:type="spellEnd"/>
            <w:r w:rsidRPr="002064BB">
              <w:rPr>
                <w:sz w:val="20"/>
              </w:rPr>
              <w:t xml:space="preserve"> to </w:t>
            </w:r>
            <w:proofErr w:type="spellStart"/>
            <w:r w:rsidRPr="002064BB">
              <w:rPr>
                <w:sz w:val="20"/>
              </w:rPr>
              <w:t>the</w:t>
            </w:r>
            <w:proofErr w:type="spellEnd"/>
            <w:r w:rsidRPr="002064BB">
              <w:rPr>
                <w:sz w:val="20"/>
              </w:rPr>
              <w:t xml:space="preserve"> UE.</w:t>
            </w:r>
          </w:p>
        </w:tc>
      </w:tr>
    </w:tbl>
    <w:p w14:paraId="2E125A47" w14:textId="32F948BF" w:rsidR="0040473B" w:rsidRDefault="0040473B" w:rsidP="009C014C"/>
    <w:p w14:paraId="206893E4" w14:textId="7EE550B0" w:rsidR="002064BB" w:rsidRDefault="00570795" w:rsidP="009C014C">
      <w:r>
        <w:t xml:space="preserve">The above options provide the same functionality to the UE which is to allow it to have a search window to assist it in measuring the PRS. Option 2 has a larger overhead due to needing both the TRP transmission time difference and the expected propagation delay difference. Additionally, option 2 has no clear benefits over option 1. </w:t>
      </w:r>
    </w:p>
    <w:p w14:paraId="4ED4515D" w14:textId="344A2C54" w:rsidR="00570795" w:rsidRDefault="00570795" w:rsidP="009C014C">
      <w:r w:rsidRPr="00570795">
        <w:rPr>
          <w:b/>
        </w:rPr>
        <w:t xml:space="preserve">Proposal </w:t>
      </w:r>
      <w:r w:rsidR="00103E15">
        <w:rPr>
          <w:b/>
        </w:rPr>
        <w:t>3</w:t>
      </w:r>
      <w:r w:rsidRPr="00570795">
        <w:rPr>
          <w:b/>
        </w:rPr>
        <w:t>:</w:t>
      </w:r>
      <w:r>
        <w:t xml:space="preserve"> For providing the UE with a search window for when the DL PRSs are expected to arrive in time support only option 1 of prior agreement.  </w:t>
      </w:r>
    </w:p>
    <w:p w14:paraId="32978B84" w14:textId="1BBD5585" w:rsidR="000B1888" w:rsidRDefault="000B1888" w:rsidP="000B1888">
      <w:pPr>
        <w:pStyle w:val="Heading2"/>
      </w:pPr>
      <w:r>
        <w:t>PRS Measurement Overhead</w:t>
      </w:r>
    </w:p>
    <w:p w14:paraId="54B5657E" w14:textId="59FBBEB7" w:rsidR="00A93D94" w:rsidRDefault="000B1888" w:rsidP="000B1888">
      <w:r>
        <w:t xml:space="preserve">RAN1 has agreed to introduce DL PRS resource sets in part to facilitate beam sweeping of the PRS for operation in FR2. Positioning at mmWave frequencies can be quite attractive due to the large BW that is available for PRS transmission. </w:t>
      </w:r>
      <w:r w:rsidR="00A93D94">
        <w:t xml:space="preserve">However, the measurement overhead for FR2 may be quite high. For </w:t>
      </w:r>
      <w:proofErr w:type="gramStart"/>
      <w:r w:rsidR="00A93D94">
        <w:t>example</w:t>
      </w:r>
      <w:proofErr w:type="gramEnd"/>
      <w:r w:rsidR="00A93D94">
        <w:t xml:space="preserve"> if the UE needs to measure </w:t>
      </w:r>
      <w:r w:rsidR="00A93D94">
        <w:lastRenderedPageBreak/>
        <w:t xml:space="preserve">8 cells and the PRS is sent in 8 beams from each cell then the UE may need to measure up to 64 PRS. In addition, if the UE needs to perform RX beam sweeping on some of the </w:t>
      </w:r>
      <w:r w:rsidR="0007251C">
        <w:t xml:space="preserve">cells it will require even more PRS measurements. Ideally a UE would only need to measure a subset of DL PRS resources within one DL PRS resource set. This is only possible if the UE (and optionally the network) knows </w:t>
      </w:r>
      <w:proofErr w:type="spellStart"/>
      <w:r w:rsidR="0007251C">
        <w:t>apriori</w:t>
      </w:r>
      <w:proofErr w:type="spellEnd"/>
      <w:r w:rsidR="0007251C">
        <w:t xml:space="preserve"> which beams the UE should select to measure the DL PRS on. </w:t>
      </w:r>
    </w:p>
    <w:p w14:paraId="154D0790" w14:textId="2FA4F958" w:rsidR="00A93D94" w:rsidRDefault="00A93D94" w:rsidP="000B1888">
      <w:r w:rsidRPr="0007251C">
        <w:rPr>
          <w:b/>
        </w:rPr>
        <w:t xml:space="preserve">Observation </w:t>
      </w:r>
      <w:r w:rsidR="00103E15">
        <w:rPr>
          <w:b/>
        </w:rPr>
        <w:t>3</w:t>
      </w:r>
      <w:r w:rsidRPr="0007251C">
        <w:rPr>
          <w:b/>
        </w:rPr>
        <w:t>:</w:t>
      </w:r>
      <w:r>
        <w:t xml:space="preserve"> The measurement overhead for </w:t>
      </w:r>
      <w:r w:rsidR="001B35E3">
        <w:t xml:space="preserve">DL </w:t>
      </w:r>
      <w:r>
        <w:t>PRS reception at FR2 may be quite high</w:t>
      </w:r>
      <w:r w:rsidR="0007251C">
        <w:t xml:space="preserve">, </w:t>
      </w:r>
      <w:proofErr w:type="gramStart"/>
      <w:r w:rsidR="0007251C">
        <w:t>in particular when</w:t>
      </w:r>
      <w:proofErr w:type="gramEnd"/>
      <w:r w:rsidR="0007251C">
        <w:t xml:space="preserve"> UE RX beam sweeping is needed</w:t>
      </w:r>
      <w:r>
        <w:t xml:space="preserve">. </w:t>
      </w:r>
    </w:p>
    <w:p w14:paraId="58CE3452" w14:textId="49D85974" w:rsidR="0007251C" w:rsidRDefault="0007251C" w:rsidP="000B1888">
      <w:r w:rsidRPr="0007251C">
        <w:rPr>
          <w:b/>
        </w:rPr>
        <w:t xml:space="preserve">Observation </w:t>
      </w:r>
      <w:r w:rsidR="00103E15">
        <w:rPr>
          <w:b/>
        </w:rPr>
        <w:t>4</w:t>
      </w:r>
      <w:r w:rsidRPr="0007251C">
        <w:rPr>
          <w:b/>
        </w:rPr>
        <w:t xml:space="preserve">: </w:t>
      </w:r>
      <w:r>
        <w:t xml:space="preserve">Knowing </w:t>
      </w:r>
      <w:proofErr w:type="spellStart"/>
      <w:r>
        <w:t>apriori</w:t>
      </w:r>
      <w:proofErr w:type="spellEnd"/>
      <w:r>
        <w:t xml:space="preserve"> which DL PRS resources (i.e., beams) the UE should measure within a DL PRS resource set would be beneficial from a measurement overhead point of view. </w:t>
      </w:r>
    </w:p>
    <w:p w14:paraId="46066AFC" w14:textId="36871774" w:rsidR="006963E1" w:rsidRDefault="006963E1" w:rsidP="000B1888">
      <w:r>
        <w:t xml:space="preserve">One potential solution that has been discussed is the use of QCL information to neighbour cells. However, the UE may not always have QCL information to all the cell it wishes to measure the PRS from. This at least </w:t>
      </w:r>
      <w:proofErr w:type="gramStart"/>
      <w:r>
        <w:t>due to the fact that</w:t>
      </w:r>
      <w:proofErr w:type="gramEnd"/>
      <w:r>
        <w:t xml:space="preserve"> the number of cells which the UE will measure, for DL-TDOA for example, is higher than the number of cells that the UE is measuring for mobility purposes. </w:t>
      </w:r>
      <w:r w:rsidRPr="006963E1">
        <w:t xml:space="preserve">This means the UE either needs additional configurations prior to PRS measurement which increase cost at the UE </w:t>
      </w:r>
      <w:proofErr w:type="gramStart"/>
      <w:r w:rsidRPr="006963E1">
        <w:t>side</w:t>
      </w:r>
      <w:proofErr w:type="gramEnd"/>
      <w:r w:rsidRPr="006963E1">
        <w:t xml:space="preserve"> or the UE will not have sufficient QCL information for all the cells.</w:t>
      </w:r>
    </w:p>
    <w:p w14:paraId="779B8DAF" w14:textId="0BF330D6" w:rsidR="006963E1" w:rsidRPr="0007251C" w:rsidRDefault="006963E1" w:rsidP="000B1888">
      <w:r w:rsidRPr="006963E1">
        <w:rPr>
          <w:b/>
        </w:rPr>
        <w:t xml:space="preserve">Observation </w:t>
      </w:r>
      <w:r w:rsidR="00103E15">
        <w:rPr>
          <w:b/>
        </w:rPr>
        <w:t>5</w:t>
      </w:r>
      <w:r w:rsidRPr="006963E1">
        <w:rPr>
          <w:b/>
        </w:rPr>
        <w:t>:</w:t>
      </w:r>
      <w:r>
        <w:t xml:space="preserve"> QCL information alone is not </w:t>
      </w:r>
      <w:proofErr w:type="gramStart"/>
      <w:r>
        <w:t>sufficient</w:t>
      </w:r>
      <w:proofErr w:type="gramEnd"/>
      <w:r>
        <w:t xml:space="preserve"> to help reduce the</w:t>
      </w:r>
      <w:r w:rsidR="001B35E3">
        <w:t xml:space="preserve"> DL</w:t>
      </w:r>
      <w:r>
        <w:t xml:space="preserve"> PRS measurement overhead. </w:t>
      </w:r>
    </w:p>
    <w:p w14:paraId="0F70F888" w14:textId="77777777" w:rsidR="006C4786" w:rsidRDefault="006C4786" w:rsidP="006C4786">
      <w:pPr>
        <w:pStyle w:val="Heading2"/>
      </w:pPr>
      <w:r>
        <w:t>PRS BWP Considerations</w:t>
      </w:r>
    </w:p>
    <w:p w14:paraId="7BFB3D23" w14:textId="77777777" w:rsidR="006C4786" w:rsidRDefault="006C4786" w:rsidP="006C4786">
      <w:pPr>
        <w:jc w:val="both"/>
      </w:pPr>
      <w:r>
        <w:t>In RAN1#96b</w:t>
      </w:r>
      <w:r>
        <w:fldChar w:fldCharType="begin"/>
      </w:r>
      <w:r>
        <w:instrText xml:space="preserve"> REF _Ref6902311 \r \h  \* MERGEFORMAT </w:instrText>
      </w:r>
      <w:r>
        <w:fldChar w:fldCharType="end"/>
      </w:r>
      <w:r>
        <w:t xml:space="preserve">, it </w:t>
      </w:r>
      <w:r>
        <w:rPr>
          <w:rFonts w:hint="eastAsia"/>
          <w:lang w:val="en-US" w:eastAsia="zh-CN"/>
        </w:rPr>
        <w:t>h</w:t>
      </w:r>
      <w:r>
        <w:rPr>
          <w:lang w:val="en-US" w:eastAsia="zh-CN"/>
        </w:rPr>
        <w:t xml:space="preserve">as been </w:t>
      </w:r>
      <w:r>
        <w:t xml:space="preserve">agreed that PRS configuration was independent of BWP configuration. In addition, the UE </w:t>
      </w:r>
      <w:proofErr w:type="spellStart"/>
      <w:r>
        <w:t>behavior</w:t>
      </w:r>
      <w:proofErr w:type="spellEnd"/>
      <w:r>
        <w:t xml:space="preserve"> to receive PRS for intra-frequency measurement was discussed. Two options were listed in case measurement gap is configured:</w:t>
      </w:r>
    </w:p>
    <w:tbl>
      <w:tblPr>
        <w:tblStyle w:val="TableGrid"/>
        <w:tblW w:w="0" w:type="auto"/>
        <w:tblLook w:val="04A0" w:firstRow="1" w:lastRow="0" w:firstColumn="1" w:lastColumn="0" w:noHBand="0" w:noVBand="1"/>
      </w:tblPr>
      <w:tblGrid>
        <w:gridCol w:w="9307"/>
      </w:tblGrid>
      <w:tr w:rsidR="006C4786" w14:paraId="6F2FAD97" w14:textId="77777777" w:rsidTr="00C134AF">
        <w:tc>
          <w:tcPr>
            <w:tcW w:w="9307" w:type="dxa"/>
          </w:tcPr>
          <w:p w14:paraId="70656FB5" w14:textId="77777777" w:rsidR="006C4786" w:rsidRPr="0028438A" w:rsidRDefault="006C4786" w:rsidP="00C134AF">
            <w:pPr>
              <w:spacing w:after="0"/>
              <w:jc w:val="both"/>
              <w:rPr>
                <w:highlight w:val="green"/>
              </w:rPr>
            </w:pPr>
            <w:bookmarkStart w:id="3" w:name="_Hlk15636269"/>
            <w:r w:rsidRPr="007D3757">
              <w:rPr>
                <w:highlight w:val="green"/>
              </w:rPr>
              <w:t>Agreement:</w:t>
            </w:r>
          </w:p>
          <w:p w14:paraId="7E7B66AA" w14:textId="77777777" w:rsidR="006C4786" w:rsidRDefault="006C4786" w:rsidP="00C134AF">
            <w:pPr>
              <w:spacing w:after="0"/>
              <w:jc w:val="both"/>
            </w:pPr>
            <w:r>
              <w:t>T</w:t>
            </w:r>
            <w:r w:rsidRPr="005D4817">
              <w:t>he DL PRS configuration provided to the UE is independent of the configured DL BWPs of the UE</w:t>
            </w:r>
          </w:p>
          <w:p w14:paraId="5F1E87F5" w14:textId="77777777" w:rsidR="006C4786" w:rsidRDefault="006C4786" w:rsidP="00C134AF">
            <w:pPr>
              <w:spacing w:after="0"/>
              <w:jc w:val="both"/>
              <w:rPr>
                <w:highlight w:val="green"/>
              </w:rPr>
            </w:pPr>
          </w:p>
          <w:p w14:paraId="3152BA1D" w14:textId="77777777" w:rsidR="006C4786" w:rsidRPr="00366A59" w:rsidRDefault="006C4786" w:rsidP="00C134AF">
            <w:pPr>
              <w:spacing w:after="0"/>
              <w:jc w:val="both"/>
            </w:pPr>
            <w:r w:rsidRPr="00366A59">
              <w:rPr>
                <w:highlight w:val="green"/>
              </w:rPr>
              <w:t>Agreement:</w:t>
            </w:r>
          </w:p>
          <w:p w14:paraId="4DBACAE4" w14:textId="77777777" w:rsidR="006C4786" w:rsidRPr="00366A59" w:rsidRDefault="006C4786" w:rsidP="00C134AF">
            <w:pPr>
              <w:spacing w:after="0"/>
              <w:jc w:val="both"/>
            </w:pPr>
            <w:r w:rsidRPr="00366A59">
              <w:t>For intra-frequency measurements:</w:t>
            </w:r>
          </w:p>
          <w:p w14:paraId="12067D4C" w14:textId="77777777" w:rsidR="006C4786" w:rsidRPr="00366A59" w:rsidRDefault="006C4786" w:rsidP="006C4786">
            <w:pPr>
              <w:widowControl w:val="0"/>
              <w:numPr>
                <w:ilvl w:val="0"/>
                <w:numId w:val="49"/>
              </w:numPr>
              <w:overflowPunct/>
              <w:autoSpaceDE/>
              <w:autoSpaceDN/>
              <w:adjustRightInd/>
              <w:spacing w:after="0"/>
              <w:ind w:left="714" w:hanging="357"/>
              <w:jc w:val="both"/>
              <w:textAlignment w:val="auto"/>
              <w:rPr>
                <w:rFonts w:ascii="Times" w:eastAsia="Batang" w:hAnsi="Times"/>
                <w:szCs w:val="24"/>
              </w:rPr>
            </w:pPr>
            <w:r w:rsidRPr="00366A59">
              <w:rPr>
                <w:rFonts w:ascii="Times" w:eastAsia="Batang" w:hAnsi="Times"/>
                <w:szCs w:val="24"/>
              </w:rPr>
              <w:t>The UE is expected to measure the DL PRS resource outside the active DL BWP or with a numerology different from the numerology of the active DL BWP if the measurement is made during a configured measurement gap.</w:t>
            </w:r>
          </w:p>
          <w:p w14:paraId="1E0198BD" w14:textId="77777777" w:rsidR="006C4786" w:rsidRPr="00366A59" w:rsidRDefault="006C4786" w:rsidP="006C4786">
            <w:pPr>
              <w:widowControl w:val="0"/>
              <w:numPr>
                <w:ilvl w:val="1"/>
                <w:numId w:val="49"/>
              </w:numPr>
              <w:overflowPunct/>
              <w:autoSpaceDE/>
              <w:autoSpaceDN/>
              <w:adjustRightInd/>
              <w:spacing w:after="0"/>
              <w:jc w:val="both"/>
              <w:textAlignment w:val="auto"/>
              <w:rPr>
                <w:rFonts w:ascii="Times" w:eastAsia="Batang" w:hAnsi="Times"/>
                <w:szCs w:val="24"/>
              </w:rPr>
            </w:pPr>
            <w:r w:rsidRPr="00366A59">
              <w:rPr>
                <w:rFonts w:ascii="Times" w:eastAsia="Batang" w:hAnsi="Times"/>
                <w:szCs w:val="24"/>
              </w:rPr>
              <w:t>Select from one of the following options for the measurement bandwidth</w:t>
            </w:r>
          </w:p>
          <w:p w14:paraId="3E4D531E" w14:textId="77777777" w:rsidR="006C4786" w:rsidRPr="00366A59" w:rsidRDefault="006C4786" w:rsidP="006C4786">
            <w:pPr>
              <w:widowControl w:val="0"/>
              <w:numPr>
                <w:ilvl w:val="2"/>
                <w:numId w:val="49"/>
              </w:numPr>
              <w:overflowPunct/>
              <w:autoSpaceDE/>
              <w:autoSpaceDN/>
              <w:adjustRightInd/>
              <w:spacing w:after="0"/>
              <w:jc w:val="both"/>
              <w:textAlignment w:val="auto"/>
              <w:rPr>
                <w:rFonts w:ascii="Times" w:eastAsia="Batang" w:hAnsi="Times"/>
                <w:szCs w:val="24"/>
              </w:rPr>
            </w:pPr>
            <w:r w:rsidRPr="00366A59">
              <w:rPr>
                <w:rFonts w:ascii="Times" w:eastAsia="Batang" w:hAnsi="Times"/>
                <w:szCs w:val="24"/>
              </w:rPr>
              <w:t>Option 1: The UE measurement is within the DL BWP configuration</w:t>
            </w:r>
          </w:p>
          <w:p w14:paraId="377A722D" w14:textId="77777777" w:rsidR="006C4786" w:rsidRPr="00366A59" w:rsidRDefault="006C4786" w:rsidP="006C4786">
            <w:pPr>
              <w:widowControl w:val="0"/>
              <w:numPr>
                <w:ilvl w:val="2"/>
                <w:numId w:val="49"/>
              </w:numPr>
              <w:overflowPunct/>
              <w:autoSpaceDE/>
              <w:autoSpaceDN/>
              <w:adjustRightInd/>
              <w:spacing w:after="0"/>
              <w:jc w:val="both"/>
              <w:textAlignment w:val="auto"/>
              <w:rPr>
                <w:rFonts w:ascii="Times" w:eastAsia="Batang" w:hAnsi="Times"/>
                <w:szCs w:val="24"/>
              </w:rPr>
            </w:pPr>
            <w:r w:rsidRPr="00366A59">
              <w:rPr>
                <w:rFonts w:ascii="Times" w:eastAsia="Batang" w:hAnsi="Times"/>
                <w:szCs w:val="24"/>
              </w:rPr>
              <w:t>Option 2: The UE can measure outside the DL BWP configuration</w:t>
            </w:r>
          </w:p>
          <w:p w14:paraId="6F7AFEBD" w14:textId="77777777" w:rsidR="006C4786" w:rsidRDefault="006C4786" w:rsidP="006C4786">
            <w:pPr>
              <w:widowControl w:val="0"/>
              <w:numPr>
                <w:ilvl w:val="1"/>
                <w:numId w:val="49"/>
              </w:numPr>
              <w:overflowPunct/>
              <w:autoSpaceDE/>
              <w:autoSpaceDN/>
              <w:adjustRightInd/>
              <w:spacing w:after="0"/>
              <w:jc w:val="both"/>
              <w:textAlignment w:val="auto"/>
              <w:rPr>
                <w:rFonts w:ascii="Times" w:eastAsia="Batang" w:hAnsi="Times"/>
                <w:szCs w:val="24"/>
              </w:rPr>
            </w:pPr>
            <w:r w:rsidRPr="00366A59">
              <w:rPr>
                <w:rFonts w:ascii="Times" w:eastAsia="Batang" w:hAnsi="Times"/>
                <w:szCs w:val="24"/>
              </w:rPr>
              <w:t>FFS: Scenarios when measurements gaps would need to be configured.</w:t>
            </w:r>
          </w:p>
          <w:p w14:paraId="5C8B830F" w14:textId="77777777" w:rsidR="006C4786" w:rsidRPr="00366A59" w:rsidRDefault="006C4786" w:rsidP="006C4786">
            <w:pPr>
              <w:widowControl w:val="0"/>
              <w:numPr>
                <w:ilvl w:val="0"/>
                <w:numId w:val="49"/>
              </w:numPr>
              <w:overflowPunct/>
              <w:autoSpaceDE/>
              <w:autoSpaceDN/>
              <w:adjustRightInd/>
              <w:spacing w:after="0"/>
              <w:ind w:left="714" w:hanging="357"/>
              <w:jc w:val="both"/>
              <w:textAlignment w:val="auto"/>
              <w:rPr>
                <w:rFonts w:ascii="Times" w:eastAsia="Batang" w:hAnsi="Times"/>
                <w:szCs w:val="24"/>
              </w:rPr>
            </w:pPr>
            <w:r w:rsidRPr="002B357B">
              <w:rPr>
                <w:rFonts w:ascii="Times" w:eastAsia="Batang" w:hAnsi="Times"/>
                <w:szCs w:val="24"/>
              </w:rPr>
              <w:t>When not configured with a measurement gap, the UE is only required to measure DL PRS within the active DL BWP and with the same numerology as the active DL BWP.</w:t>
            </w:r>
          </w:p>
        </w:tc>
      </w:tr>
    </w:tbl>
    <w:bookmarkEnd w:id="3"/>
    <w:p w14:paraId="13235D37" w14:textId="77777777" w:rsidR="006C4786" w:rsidRDefault="006C4786" w:rsidP="006C4786">
      <w:pPr>
        <w:spacing w:beforeLines="50" w:before="120"/>
        <w:jc w:val="both"/>
      </w:pPr>
      <w:r>
        <w:rPr>
          <w:rFonts w:hint="eastAsia"/>
        </w:rPr>
        <w:t>I</w:t>
      </w:r>
      <w:r>
        <w:t>n RAN1 #97, it is agreed to further down-select option 2 for intra-frequency measurement when measurement gaps are configured.</w:t>
      </w:r>
    </w:p>
    <w:tbl>
      <w:tblPr>
        <w:tblStyle w:val="TableGrid"/>
        <w:tblW w:w="0" w:type="auto"/>
        <w:tblLook w:val="04A0" w:firstRow="1" w:lastRow="0" w:firstColumn="1" w:lastColumn="0" w:noHBand="0" w:noVBand="1"/>
      </w:tblPr>
      <w:tblGrid>
        <w:gridCol w:w="9307"/>
      </w:tblGrid>
      <w:tr w:rsidR="006C4786" w14:paraId="467BB949" w14:textId="77777777" w:rsidTr="00C134AF">
        <w:tc>
          <w:tcPr>
            <w:tcW w:w="9307" w:type="dxa"/>
          </w:tcPr>
          <w:p w14:paraId="4EBBB510" w14:textId="77777777" w:rsidR="006C4786" w:rsidRDefault="006C4786" w:rsidP="00C134AF">
            <w:pPr>
              <w:spacing w:after="0"/>
              <w:jc w:val="both"/>
            </w:pPr>
            <w:r w:rsidRPr="002856D6">
              <w:rPr>
                <w:highlight w:val="green"/>
              </w:rPr>
              <w:t>Agreement:</w:t>
            </w:r>
          </w:p>
          <w:p w14:paraId="121DF57E" w14:textId="77777777" w:rsidR="006C4786" w:rsidRDefault="006C4786" w:rsidP="00C134AF">
            <w:pPr>
              <w:spacing w:after="0"/>
              <w:jc w:val="both"/>
            </w:pPr>
            <w:r>
              <w:t>For intra-frequency measurements, when measurement gaps are configured, the UE is expected to measure the DL PRS resource outside the configured (active and inactive) BWPs (Option 2 in the related Agreement from RAN1 #96-Bis).</w:t>
            </w:r>
          </w:p>
          <w:p w14:paraId="225F8B9D" w14:textId="77777777" w:rsidR="006C4786" w:rsidRPr="0028438A" w:rsidRDefault="006C4786" w:rsidP="006C4786">
            <w:pPr>
              <w:numPr>
                <w:ilvl w:val="0"/>
                <w:numId w:val="49"/>
              </w:numPr>
              <w:overflowPunct/>
              <w:autoSpaceDE/>
              <w:autoSpaceDN/>
              <w:adjustRightInd/>
              <w:spacing w:after="0"/>
              <w:jc w:val="both"/>
              <w:textAlignment w:val="auto"/>
            </w:pPr>
            <w:r>
              <w:t xml:space="preserve">Note: The UE has flexibility to measure only on a part of the DL PRS configured bandwidth </w:t>
            </w:r>
            <w:proofErr w:type="gramStart"/>
            <w:r>
              <w:t>as long as</w:t>
            </w:r>
            <w:proofErr w:type="gramEnd"/>
            <w:r>
              <w:t xml:space="preserve"> measurement requirements are met.</w:t>
            </w:r>
          </w:p>
        </w:tc>
      </w:tr>
    </w:tbl>
    <w:p w14:paraId="138008A7" w14:textId="77777777" w:rsidR="006C4786" w:rsidRDefault="006C4786" w:rsidP="006C4786">
      <w:pPr>
        <w:spacing w:beforeLines="50" w:before="120"/>
        <w:jc w:val="both"/>
      </w:pPr>
      <w:r>
        <w:rPr>
          <w:rFonts w:hint="eastAsia"/>
        </w:rPr>
        <w:t>T</w:t>
      </w:r>
      <w:r>
        <w:t>o summarize what have been agreed for intra-frequency measurement:</w:t>
      </w:r>
    </w:p>
    <w:p w14:paraId="31D8AE0F" w14:textId="77777777" w:rsidR="006C4786" w:rsidRDefault="006C4786" w:rsidP="006C4786">
      <w:pPr>
        <w:pStyle w:val="ListParagraph"/>
        <w:numPr>
          <w:ilvl w:val="0"/>
          <w:numId w:val="49"/>
        </w:numPr>
        <w:ind w:left="714" w:hanging="357"/>
        <w:jc w:val="both"/>
        <w:rPr>
          <w:sz w:val="20"/>
          <w:szCs w:val="20"/>
          <w:lang w:val="en-GB" w:eastAsia="en-US"/>
        </w:rPr>
      </w:pPr>
      <w:r>
        <w:rPr>
          <w:sz w:val="20"/>
          <w:szCs w:val="20"/>
          <w:lang w:val="en-GB" w:eastAsia="en-US"/>
        </w:rPr>
        <w:t xml:space="preserve">Case 1: When measurement gaps are not configured, </w:t>
      </w:r>
      <w:r w:rsidRPr="00303BB5">
        <w:rPr>
          <w:sz w:val="20"/>
          <w:szCs w:val="20"/>
          <w:lang w:val="en-GB" w:eastAsia="en-US"/>
        </w:rPr>
        <w:t>the UE is only required to measure DL PRS within the active DL BWP and with the same numerology as the active DL BWP</w:t>
      </w:r>
      <w:r>
        <w:rPr>
          <w:sz w:val="20"/>
          <w:szCs w:val="20"/>
          <w:lang w:val="en-GB" w:eastAsia="en-US"/>
        </w:rPr>
        <w:t>.</w:t>
      </w:r>
    </w:p>
    <w:p w14:paraId="609A428C" w14:textId="42B97877" w:rsidR="006C4786" w:rsidRPr="00303BB5" w:rsidRDefault="006C4786" w:rsidP="006C4786">
      <w:pPr>
        <w:pStyle w:val="ListParagraph"/>
        <w:numPr>
          <w:ilvl w:val="0"/>
          <w:numId w:val="49"/>
        </w:numPr>
        <w:spacing w:afterLines="50" w:after="120"/>
        <w:ind w:left="714" w:hanging="357"/>
        <w:contextualSpacing w:val="0"/>
        <w:jc w:val="both"/>
        <w:rPr>
          <w:sz w:val="20"/>
          <w:szCs w:val="20"/>
          <w:lang w:val="en-GB" w:eastAsia="en-US"/>
        </w:rPr>
      </w:pPr>
      <w:r>
        <w:rPr>
          <w:sz w:val="20"/>
          <w:szCs w:val="20"/>
          <w:lang w:val="en-GB" w:eastAsia="en-US"/>
        </w:rPr>
        <w:t xml:space="preserve">Case 2: </w:t>
      </w:r>
      <w:r>
        <w:rPr>
          <w:rFonts w:hint="eastAsia"/>
          <w:sz w:val="20"/>
          <w:szCs w:val="20"/>
          <w:lang w:val="en-GB" w:eastAsia="en-US"/>
        </w:rPr>
        <w:t>W</w:t>
      </w:r>
      <w:r>
        <w:rPr>
          <w:sz w:val="20"/>
          <w:szCs w:val="20"/>
          <w:lang w:val="en-GB" w:eastAsia="en-US"/>
        </w:rPr>
        <w:t xml:space="preserve">hen measurement gaps are configured, </w:t>
      </w:r>
      <w:r w:rsidRPr="00303BB5">
        <w:rPr>
          <w:sz w:val="20"/>
          <w:szCs w:val="20"/>
          <w:lang w:val="en-GB" w:eastAsia="en-US"/>
        </w:rPr>
        <w:t>the UE is expected to measure the DL PRS resource outside the configured (active and inactive) BWP</w:t>
      </w:r>
      <w:r>
        <w:rPr>
          <w:sz w:val="20"/>
          <w:szCs w:val="20"/>
          <w:lang w:val="en-GB" w:eastAsia="en-US"/>
        </w:rPr>
        <w:t>s. And the measured DL PRS could have a different numerology as the active DL BWP</w:t>
      </w:r>
    </w:p>
    <w:p w14:paraId="585219A5" w14:textId="77777777" w:rsidR="00154F42" w:rsidRDefault="006C4786" w:rsidP="006C4786">
      <w:pPr>
        <w:jc w:val="both"/>
        <w:rPr>
          <w:lang w:val="en-US" w:eastAsia="zh-CN"/>
        </w:rPr>
      </w:pPr>
      <w:r>
        <w:rPr>
          <w:rFonts w:hint="eastAsia"/>
        </w:rPr>
        <w:t>I</w:t>
      </w:r>
      <w:r>
        <w:t xml:space="preserve">n Rel-15 NR, measurement gaps are typically configured to align with SMTC for connected mode aiming for </w:t>
      </w:r>
      <w:r w:rsidRPr="00C0357E">
        <w:t>SSB based intra-frequency measurement</w:t>
      </w:r>
      <w:r>
        <w:t xml:space="preserve">. In order to perform DL PRS measurement, additional measurement objects to be introduced within the measurement gaps, which may lead to the increase of measurement gap occasions. Or, a dedicated measurement gap pattern is configured to UE for intra-frequency DL PRS measurement. </w:t>
      </w:r>
      <w:r>
        <w:rPr>
          <w:rFonts w:hint="eastAsia"/>
          <w:lang w:eastAsia="zh-CN"/>
        </w:rPr>
        <w:t>Both</w:t>
      </w:r>
      <w:r>
        <w:rPr>
          <w:rFonts w:hint="eastAsia"/>
        </w:rPr>
        <w:t xml:space="preserve"> </w:t>
      </w:r>
      <w:r>
        <w:t xml:space="preserve">ways may have impact on </w:t>
      </w:r>
      <w:proofErr w:type="spellStart"/>
      <w:r>
        <w:t>exsiting</w:t>
      </w:r>
      <w:proofErr w:type="spellEnd"/>
      <w:r>
        <w:t xml:space="preserve"> intra-frequency measurement </w:t>
      </w:r>
      <w:proofErr w:type="spellStart"/>
      <w:r>
        <w:t>behavior</w:t>
      </w:r>
      <w:proofErr w:type="spellEnd"/>
      <w:r>
        <w:t>.</w:t>
      </w:r>
      <w:r w:rsidR="00154F42">
        <w:t xml:space="preserve"> </w:t>
      </w:r>
      <w:r>
        <w:t xml:space="preserve">Therefore, </w:t>
      </w:r>
      <w:r>
        <w:rPr>
          <w:rFonts w:hint="eastAsia"/>
          <w:lang w:val="en-US" w:eastAsia="zh-CN"/>
        </w:rPr>
        <w:t>i</w:t>
      </w:r>
      <w:r>
        <w:rPr>
          <w:lang w:val="en-US" w:eastAsia="zh-CN"/>
        </w:rPr>
        <w:t xml:space="preserve">t is </w:t>
      </w:r>
      <w:r w:rsidR="00154F42">
        <w:rPr>
          <w:lang w:val="en-US" w:eastAsia="zh-CN"/>
        </w:rPr>
        <w:t>not</w:t>
      </w:r>
      <w:r>
        <w:rPr>
          <w:lang w:val="en-US" w:eastAsia="zh-CN"/>
        </w:rPr>
        <w:t xml:space="preserve"> efficient to </w:t>
      </w:r>
      <w:r w:rsidR="00154F42">
        <w:rPr>
          <w:lang w:val="en-US" w:eastAsia="zh-CN"/>
        </w:rPr>
        <w:t>change measurement gap configuration for PRS measurement.</w:t>
      </w:r>
    </w:p>
    <w:p w14:paraId="68735593" w14:textId="1622190A" w:rsidR="006C4786" w:rsidRDefault="00154F42" w:rsidP="006C4786">
      <w:pPr>
        <w:jc w:val="both"/>
        <w:rPr>
          <w:lang w:val="en-US"/>
        </w:rPr>
      </w:pPr>
      <w:r>
        <w:rPr>
          <w:lang w:val="en-US"/>
        </w:rPr>
        <w:lastRenderedPageBreak/>
        <w:t xml:space="preserve">It is already agreed in RAN1 #96bis, </w:t>
      </w:r>
      <w:r w:rsidRPr="00154F42">
        <w:rPr>
          <w:highlight w:val="green"/>
          <w:lang w:val="en-US"/>
        </w:rPr>
        <w:t>t</w:t>
      </w:r>
      <w:r w:rsidRPr="00154F42">
        <w:rPr>
          <w:highlight w:val="green"/>
        </w:rPr>
        <w:t>he DL PRS configuration provided to the UE is independent of the configured DL BWPs of the UE</w:t>
      </w:r>
      <w:r>
        <w:rPr>
          <w:lang w:val="en-US"/>
        </w:rPr>
        <w:t>.</w:t>
      </w:r>
      <w:r w:rsidR="006C4786">
        <w:t xml:space="preserve"> In this case, </w:t>
      </w:r>
      <w:r w:rsidR="006C4786">
        <w:rPr>
          <w:rFonts w:hint="eastAsia"/>
          <w:lang w:eastAsia="zh-CN"/>
        </w:rPr>
        <w:t>it</w:t>
      </w:r>
      <w:r w:rsidR="006C4786">
        <w:rPr>
          <w:rFonts w:hint="eastAsia"/>
        </w:rPr>
        <w:t xml:space="preserve"> </w:t>
      </w:r>
      <w:r w:rsidR="006C4786">
        <w:t>may happen that the PRS bandwidth and/or PRS numerology are different from that in active DL BWP</w:t>
      </w:r>
      <w:r w:rsidR="006C4786">
        <w:rPr>
          <w:rFonts w:hint="eastAsia"/>
          <w:lang w:val="en-US" w:eastAsia="zh-CN"/>
        </w:rPr>
        <w:t>,</w:t>
      </w:r>
      <w:r w:rsidR="006C4786">
        <w:rPr>
          <w:lang w:val="en-US" w:eastAsia="zh-CN"/>
        </w:rPr>
        <w:t xml:space="preserve"> as </w:t>
      </w:r>
      <w:r w:rsidR="006C4786">
        <w:t>information of PRS configuration from neighbour cells is transparent at the serving gNB.</w:t>
      </w:r>
      <w:r>
        <w:t xml:space="preserve"> If the UE only measure PRSs within the active DL BWP and with the same numerology as the active DL BWP, there may be </w:t>
      </w:r>
      <w:r w:rsidR="00A9469D">
        <w:t>big</w:t>
      </w:r>
      <w:r>
        <w:t xml:space="preserve"> impact for positioning</w:t>
      </w:r>
      <w:r w:rsidR="00A9469D">
        <w:t xml:space="preserve"> performance, especially when the bandwidth of active DL BWP is very small.</w:t>
      </w:r>
    </w:p>
    <w:p w14:paraId="2BA6CB89" w14:textId="07C1CD6A" w:rsidR="006C4786" w:rsidRDefault="00A9469D" w:rsidP="006C4786">
      <w:pPr>
        <w:jc w:val="both"/>
      </w:pPr>
      <w:r>
        <w:t>Therefore, it</w:t>
      </w:r>
      <w:r w:rsidR="006C4786">
        <w:t xml:space="preserve"> is beneficial that UE could indicate a BWP allocation/RF switching request to the gNB after it is requested to provide location information. Such request can be carried by an RRC signalling. Then, the gNB knows when and where the UE will perform PRS measurement and potentially allocates suitable BWP to the UE. The gNB may further </w:t>
      </w:r>
      <w:r w:rsidR="006C4786" w:rsidRPr="005373F3">
        <w:t>switch</w:t>
      </w:r>
      <w:r w:rsidR="006C4786">
        <w:t xml:space="preserve"> DL active</w:t>
      </w:r>
      <w:r w:rsidR="006C4786" w:rsidRPr="005373F3">
        <w:t xml:space="preserve"> BWP periodically </w:t>
      </w:r>
      <w:r w:rsidR="006C4786">
        <w:t>for UE PRS measurement.</w:t>
      </w:r>
    </w:p>
    <w:p w14:paraId="38DB0629" w14:textId="5CBF671A" w:rsidR="006C4786" w:rsidRDefault="006C4786" w:rsidP="006C4786">
      <w:pPr>
        <w:jc w:val="both"/>
      </w:pPr>
      <w:r w:rsidRPr="001A3478">
        <w:rPr>
          <w:b/>
          <w:bCs/>
        </w:rPr>
        <w:t xml:space="preserve">Proposal </w:t>
      </w:r>
      <w:r w:rsidR="00103E15">
        <w:rPr>
          <w:b/>
          <w:bCs/>
          <w:lang w:eastAsia="zh-CN"/>
        </w:rPr>
        <w:t>4</w:t>
      </w:r>
      <w:r w:rsidRPr="001A3478">
        <w:rPr>
          <w:b/>
          <w:bCs/>
        </w:rPr>
        <w:t>:</w:t>
      </w:r>
      <w:r>
        <w:t xml:space="preserve"> Support UE requested BWP switching for</w:t>
      </w:r>
      <w:r w:rsidR="001B35E3">
        <w:t xml:space="preserve"> DL</w:t>
      </w:r>
      <w:r>
        <w:t xml:space="preserve"> PRS reception.</w:t>
      </w:r>
    </w:p>
    <w:p w14:paraId="45881FFF" w14:textId="77777777" w:rsidR="006C4786" w:rsidRDefault="006C4786" w:rsidP="006C4786">
      <w:r>
        <w:t>UL BWP discussion can be followed similarly as DL BWP. UL SRS BWP issues was discussed in Rel-15 already</w:t>
      </w:r>
      <w:r w:rsidRPr="3B3CC1F4">
        <w:t xml:space="preserve"> </w:t>
      </w:r>
      <w:r>
        <w:t>and</w:t>
      </w:r>
      <w:r w:rsidRPr="3B3CC1F4">
        <w:t xml:space="preserve"> </w:t>
      </w:r>
      <w:r>
        <w:t>raised issues to measure UL channel with high quality or efficiency. One simple approach will be to success the same Rel-15 behaviours</w:t>
      </w:r>
      <w:r w:rsidRPr="3B3CC1F4">
        <w:t xml:space="preserve">. </w:t>
      </w:r>
    </w:p>
    <w:p w14:paraId="12404FF5" w14:textId="77777777" w:rsidR="006C4786" w:rsidRDefault="006C4786" w:rsidP="006C4786">
      <w:r>
        <w:t xml:space="preserve">In Rel-15 SRS discussions, </w:t>
      </w:r>
      <w:r w:rsidRPr="00D44B84">
        <w:t xml:space="preserve">UEs are expected to receive and transmit only within the frequency range configured for the active BWPs with the associated numerologies. However, there are exceptions; a UE may perform Radio Resource Management (RRM) measurement or transmit </w:t>
      </w:r>
      <w:r>
        <w:t xml:space="preserve">Rel-15 </w:t>
      </w:r>
      <w:r w:rsidRPr="00D44B84">
        <w:t>SRS outside of its active BWP via measurement gap</w:t>
      </w:r>
      <w:r>
        <w:t>.</w:t>
      </w:r>
    </w:p>
    <w:p w14:paraId="48482712" w14:textId="77777777" w:rsidR="006C4786" w:rsidRDefault="006C4786" w:rsidP="006C4786">
      <w:r>
        <w:t xml:space="preserve">There exist two possible interpretations on UL positioning measurement; </w:t>
      </w:r>
      <w:proofErr w:type="gramStart"/>
      <w:r>
        <w:t>firstly</w:t>
      </w:r>
      <w:proofErr w:type="gramEnd"/>
      <w:r>
        <w:t xml:space="preserve"> UL positioning measurement is regarded as a common UE measurement, so it is measured only in active BWP</w:t>
      </w:r>
      <w:r w:rsidRPr="7DE11230">
        <w:t xml:space="preserve">. </w:t>
      </w:r>
      <w:r>
        <w:t xml:space="preserve">Another view will be to treat UL positioning measurement as an exceptional measurement like RRM. We observed some companies’ preferences in the last meeting to success </w:t>
      </w:r>
      <w:r w:rsidRPr="00A13802">
        <w:t>Rel</w:t>
      </w:r>
      <w:r w:rsidRPr="7DE11230">
        <w:t>-</w:t>
      </w:r>
      <w:r w:rsidRPr="00A13802">
        <w:t xml:space="preserve">15 NR SRS configuration and transmission with respect to UL BWPs </w:t>
      </w:r>
      <w:r>
        <w:t xml:space="preserve">and </w:t>
      </w:r>
      <w:r w:rsidRPr="00A13802">
        <w:t xml:space="preserve">carried </w:t>
      </w:r>
      <w:r>
        <w:t xml:space="preserve">it </w:t>
      </w:r>
      <w:r w:rsidRPr="00A13802">
        <w:t xml:space="preserve">over to </w:t>
      </w:r>
      <w:r>
        <w:t xml:space="preserve">Rel-16 </w:t>
      </w:r>
      <w:r w:rsidRPr="00A13802">
        <w:t>SRS configuration and transmission for positioning purposes.</w:t>
      </w:r>
      <w:r>
        <w:t xml:space="preserve"> However as shown in Rel-15 discussion, there exist both SRS transmission behaviours as two behaviours, and it</w:t>
      </w:r>
      <w:r w:rsidRPr="7DE11230">
        <w:t xml:space="preserve"> </w:t>
      </w:r>
      <w:r>
        <w:t>is unclear which case is applied to Rel-16 SRS</w:t>
      </w:r>
      <w:r w:rsidRPr="7DE11230">
        <w:t xml:space="preserve"> </w:t>
      </w:r>
      <w:r>
        <w:t>transmission. It is related with trade-off of positioning performance as well, therefore RAN1 needs to clarify it through an agreement.</w:t>
      </w:r>
    </w:p>
    <w:p w14:paraId="130FB8CE" w14:textId="6A243E4C" w:rsidR="006C4786" w:rsidRDefault="006C4786" w:rsidP="006C4786">
      <w:r w:rsidRPr="005373F3">
        <w:rPr>
          <w:b/>
        </w:rPr>
        <w:t xml:space="preserve">Proposal </w:t>
      </w:r>
      <w:r w:rsidR="00103E15">
        <w:rPr>
          <w:b/>
          <w:lang w:eastAsia="zh-CN"/>
        </w:rPr>
        <w:t>5</w:t>
      </w:r>
      <w:r w:rsidRPr="005373F3">
        <w:rPr>
          <w:b/>
        </w:rPr>
        <w:t>:</w:t>
      </w:r>
      <w:r>
        <w:t xml:space="preserve"> Regarding Rel-16 SRS transmission for UL positioning, RAN1 needs to clarify UE transmission behaviour in UL BWP between two options</w:t>
      </w:r>
    </w:p>
    <w:p w14:paraId="5D317374" w14:textId="77777777" w:rsidR="006C4786" w:rsidRDefault="006C4786" w:rsidP="006C4786">
      <w:pPr>
        <w:ind w:left="284"/>
      </w:pPr>
      <w:r>
        <w:t>(</w:t>
      </w:r>
      <w:proofErr w:type="spellStart"/>
      <w:r>
        <w:t>i</w:t>
      </w:r>
      <w:proofErr w:type="spellEnd"/>
      <w:r>
        <w:t xml:space="preserve">) transmit Rel-16 SRS for positioning </w:t>
      </w:r>
      <w:r w:rsidRPr="002B53A8">
        <w:t xml:space="preserve">within the active </w:t>
      </w:r>
      <w:r>
        <w:t xml:space="preserve">UL </w:t>
      </w:r>
      <w:r w:rsidRPr="002B53A8">
        <w:t>BWP</w:t>
      </w:r>
    </w:p>
    <w:p w14:paraId="7A0CBE86" w14:textId="04224049" w:rsidR="00BC4726" w:rsidRDefault="006C4786" w:rsidP="006C4786">
      <w:pPr>
        <w:ind w:firstLine="284"/>
      </w:pPr>
      <w:r>
        <w:t>(ii) transmit Rel-16 SRS for positioning in outside of active UL BWP (i.e. the largest BWP)</w:t>
      </w:r>
    </w:p>
    <w:p w14:paraId="3DA73107" w14:textId="5B2B311C" w:rsidR="00BE2F79" w:rsidRDefault="00BE2F79" w:rsidP="00BE2F79">
      <w:pPr>
        <w:pStyle w:val="Heading2"/>
      </w:pPr>
      <w:r>
        <w:t>UL TPC</w:t>
      </w:r>
    </w:p>
    <w:p w14:paraId="225191A0" w14:textId="75469F6B" w:rsidR="00BE2F79" w:rsidRDefault="00BE2F79" w:rsidP="00103E15">
      <w:r>
        <w:t xml:space="preserve">At RAN1#98 the following agreement about UL TPC was made: </w:t>
      </w:r>
    </w:p>
    <w:tbl>
      <w:tblPr>
        <w:tblStyle w:val="TableGrid"/>
        <w:tblW w:w="0" w:type="auto"/>
        <w:tblLook w:val="04A0" w:firstRow="1" w:lastRow="0" w:firstColumn="1" w:lastColumn="0" w:noHBand="0" w:noVBand="1"/>
      </w:tblPr>
      <w:tblGrid>
        <w:gridCol w:w="9307"/>
      </w:tblGrid>
      <w:tr w:rsidR="00BE2F79" w14:paraId="297B65BC" w14:textId="77777777" w:rsidTr="00C12C04">
        <w:tc>
          <w:tcPr>
            <w:tcW w:w="9307" w:type="dxa"/>
          </w:tcPr>
          <w:p w14:paraId="2E4C6E3C" w14:textId="77777777" w:rsidR="00BE2F79" w:rsidRDefault="00BE2F79" w:rsidP="00C12C04">
            <w:pPr>
              <w:spacing w:after="0"/>
              <w:jc w:val="both"/>
            </w:pPr>
            <w:r w:rsidRPr="002856D6">
              <w:rPr>
                <w:highlight w:val="green"/>
              </w:rPr>
              <w:t>Agreement:</w:t>
            </w:r>
          </w:p>
          <w:p w14:paraId="4ED93749" w14:textId="77777777" w:rsidR="00BE2F79" w:rsidRPr="00BE2F79" w:rsidRDefault="00BE2F79" w:rsidP="00BE2F79">
            <w:pPr>
              <w:spacing w:after="0"/>
              <w:jc w:val="both"/>
              <w:rPr>
                <w:lang w:val="en-US"/>
              </w:rPr>
            </w:pPr>
            <w:r w:rsidRPr="00BE2F79">
              <w:t>For the purpose of power control of the SRS for positioning purposes, support configuring a DL reference signal of a neighbouring cell to be used as DL path loss reference. One of the following can be configured as the DL reference signal.</w:t>
            </w:r>
          </w:p>
          <w:p w14:paraId="7E2AC55B" w14:textId="77777777" w:rsidR="00BE2F79" w:rsidRPr="00BE2F79" w:rsidRDefault="00BE2F79" w:rsidP="00BE2F79">
            <w:pPr>
              <w:numPr>
                <w:ilvl w:val="1"/>
                <w:numId w:val="49"/>
              </w:numPr>
              <w:spacing w:after="0"/>
              <w:jc w:val="both"/>
              <w:rPr>
                <w:lang w:val="en-US"/>
              </w:rPr>
            </w:pPr>
            <w:r w:rsidRPr="00BE2F79">
              <w:t>SSB</w:t>
            </w:r>
          </w:p>
          <w:p w14:paraId="49E22C18" w14:textId="77777777" w:rsidR="00BE2F79" w:rsidRPr="00BE2F79" w:rsidRDefault="00BE2F79" w:rsidP="00BE2F79">
            <w:pPr>
              <w:numPr>
                <w:ilvl w:val="1"/>
                <w:numId w:val="49"/>
              </w:numPr>
              <w:spacing w:after="0"/>
              <w:jc w:val="both"/>
              <w:rPr>
                <w:lang w:val="en-US"/>
              </w:rPr>
            </w:pPr>
            <w:r w:rsidRPr="00BE2F79">
              <w:t>DL-PRS at least for multi-cell RTT</w:t>
            </w:r>
          </w:p>
          <w:p w14:paraId="05A1C125" w14:textId="1D582218" w:rsidR="00BE2F79" w:rsidRPr="00103E15" w:rsidRDefault="00BE2F79" w:rsidP="00103E15">
            <w:pPr>
              <w:numPr>
                <w:ilvl w:val="1"/>
                <w:numId w:val="49"/>
              </w:numPr>
              <w:spacing w:after="0"/>
              <w:jc w:val="both"/>
              <w:rPr>
                <w:lang w:val="en-US"/>
              </w:rPr>
            </w:pPr>
            <w:r w:rsidRPr="00BE2F79">
              <w:t>FFS: CSI-RS</w:t>
            </w:r>
          </w:p>
        </w:tc>
      </w:tr>
    </w:tbl>
    <w:p w14:paraId="5E9FFD4D" w14:textId="77777777" w:rsidR="005651B8" w:rsidRDefault="005651B8" w:rsidP="000B1888"/>
    <w:p w14:paraId="45E63D16" w14:textId="17FCF717" w:rsidR="006C4786" w:rsidRDefault="00BE2F79" w:rsidP="000B1888">
      <w:r>
        <w:t xml:space="preserve">In our view the inclusion of SSB and DL-PRS for at least multi-cell RTT is </w:t>
      </w:r>
      <w:proofErr w:type="gramStart"/>
      <w:r>
        <w:t>sufficient</w:t>
      </w:r>
      <w:proofErr w:type="gramEnd"/>
      <w:r>
        <w:t xml:space="preserve"> for having DL path loss reference at </w:t>
      </w:r>
      <w:proofErr w:type="spellStart"/>
      <w:r>
        <w:t>neighboring</w:t>
      </w:r>
      <w:proofErr w:type="spellEnd"/>
      <w:r>
        <w:t xml:space="preserve"> cells. It is not clear that including CSI-RS would improve the positioning performance and comes with additional complexity including potential further signalling/configuration overhead. </w:t>
      </w:r>
    </w:p>
    <w:p w14:paraId="3FB3D290" w14:textId="6928E26F" w:rsidR="00BE2F79" w:rsidRDefault="00BE2F79" w:rsidP="000B1888">
      <w:r w:rsidRPr="00103E15">
        <w:rPr>
          <w:b/>
        </w:rPr>
        <w:t xml:space="preserve">Proposal </w:t>
      </w:r>
      <w:r w:rsidR="00103E15">
        <w:rPr>
          <w:b/>
        </w:rPr>
        <w:t>6</w:t>
      </w:r>
      <w:r>
        <w:t xml:space="preserve">: Do not support CSI-RS as a DL pathloss reference for </w:t>
      </w:r>
      <w:proofErr w:type="spellStart"/>
      <w:r>
        <w:t>neighboring</w:t>
      </w:r>
      <w:proofErr w:type="spellEnd"/>
      <w:r>
        <w:t xml:space="preserve"> cells for the purpose of power control. </w:t>
      </w:r>
    </w:p>
    <w:p w14:paraId="11E7AEF9" w14:textId="0BE54AB9" w:rsidR="00BE2F79" w:rsidRDefault="00BE2F79" w:rsidP="00BE2F79">
      <w:pPr>
        <w:pStyle w:val="Heading2"/>
      </w:pPr>
      <w:r>
        <w:t>QCL Relations</w:t>
      </w:r>
    </w:p>
    <w:p w14:paraId="1C76CEF4" w14:textId="2329DBB7" w:rsidR="00BE2F79" w:rsidRDefault="00BE2F79" w:rsidP="000B1888">
      <w:r>
        <w:t xml:space="preserve">At RAN1#98 the following agreement on QCL relations for DL PRS resource was made: </w:t>
      </w:r>
    </w:p>
    <w:tbl>
      <w:tblPr>
        <w:tblStyle w:val="TableGrid"/>
        <w:tblW w:w="0" w:type="auto"/>
        <w:tblLook w:val="04A0" w:firstRow="1" w:lastRow="0" w:firstColumn="1" w:lastColumn="0" w:noHBand="0" w:noVBand="1"/>
      </w:tblPr>
      <w:tblGrid>
        <w:gridCol w:w="9307"/>
      </w:tblGrid>
      <w:tr w:rsidR="00BE2F79" w14:paraId="4F5CC947" w14:textId="77777777" w:rsidTr="00C12C04">
        <w:tc>
          <w:tcPr>
            <w:tcW w:w="9307" w:type="dxa"/>
          </w:tcPr>
          <w:p w14:paraId="7693ABBE" w14:textId="77777777" w:rsidR="00BE2F79" w:rsidRDefault="00BE2F79" w:rsidP="00C12C04">
            <w:pPr>
              <w:spacing w:after="0"/>
              <w:jc w:val="both"/>
            </w:pPr>
            <w:r w:rsidRPr="002856D6">
              <w:rPr>
                <w:highlight w:val="green"/>
              </w:rPr>
              <w:t>Agreement:</w:t>
            </w:r>
          </w:p>
          <w:p w14:paraId="05C58CD0" w14:textId="77777777" w:rsidR="00BE2F79" w:rsidRPr="00BE2F79" w:rsidRDefault="00BE2F79" w:rsidP="00BE2F79">
            <w:pPr>
              <w:spacing w:after="0"/>
              <w:jc w:val="both"/>
              <w:rPr>
                <w:lang w:val="en-US"/>
              </w:rPr>
            </w:pPr>
            <w:r w:rsidRPr="00BE2F79">
              <w:t xml:space="preserve">With regards to QCL relations beyond Type-D of a DL PRS resource, support one or more of the following options: </w:t>
            </w:r>
          </w:p>
          <w:p w14:paraId="06B7B93E" w14:textId="77777777" w:rsidR="00BE2F79" w:rsidRPr="00BE2F79" w:rsidRDefault="00BE2F79" w:rsidP="00BE2F79">
            <w:pPr>
              <w:numPr>
                <w:ilvl w:val="0"/>
                <w:numId w:val="49"/>
              </w:numPr>
              <w:spacing w:after="0"/>
              <w:jc w:val="both"/>
              <w:rPr>
                <w:lang w:val="en-US"/>
              </w:rPr>
            </w:pPr>
            <w:r w:rsidRPr="00BE2F79">
              <w:t>Option 1:  QCL-</w:t>
            </w:r>
            <w:proofErr w:type="spellStart"/>
            <w:r w:rsidRPr="00BE2F79">
              <w:t>TypeC</w:t>
            </w:r>
            <w:proofErr w:type="spellEnd"/>
            <w:r w:rsidRPr="00BE2F79">
              <w:t xml:space="preserve"> from an SSB from a TRP.</w:t>
            </w:r>
          </w:p>
          <w:p w14:paraId="514A4368" w14:textId="77777777" w:rsidR="00BE2F79" w:rsidRPr="00BE2F79" w:rsidRDefault="00BE2F79" w:rsidP="00BE2F79">
            <w:pPr>
              <w:numPr>
                <w:ilvl w:val="0"/>
                <w:numId w:val="49"/>
              </w:numPr>
              <w:spacing w:after="0"/>
              <w:jc w:val="both"/>
              <w:rPr>
                <w:lang w:val="en-US"/>
              </w:rPr>
            </w:pPr>
            <w:r w:rsidRPr="00BE2F79">
              <w:t>Option 2:  QCL-</w:t>
            </w:r>
            <w:proofErr w:type="spellStart"/>
            <w:r w:rsidRPr="00BE2F79">
              <w:t>TypeC</w:t>
            </w:r>
            <w:proofErr w:type="spellEnd"/>
            <w:r w:rsidRPr="00BE2F79">
              <w:t xml:space="preserve"> from a DL PRS resource from a TRP.</w:t>
            </w:r>
          </w:p>
          <w:p w14:paraId="2908DC5A" w14:textId="77777777" w:rsidR="00BE2F79" w:rsidRPr="00BE2F79" w:rsidRDefault="00BE2F79" w:rsidP="00BE2F79">
            <w:pPr>
              <w:numPr>
                <w:ilvl w:val="0"/>
                <w:numId w:val="49"/>
              </w:numPr>
              <w:spacing w:after="0"/>
              <w:jc w:val="both"/>
              <w:rPr>
                <w:lang w:val="en-US"/>
              </w:rPr>
            </w:pPr>
            <w:r w:rsidRPr="00BE2F79">
              <w:lastRenderedPageBreak/>
              <w:t>Option 3:  QCL-</w:t>
            </w:r>
            <w:proofErr w:type="spellStart"/>
            <w:r w:rsidRPr="00BE2F79">
              <w:t>TypeA</w:t>
            </w:r>
            <w:proofErr w:type="spellEnd"/>
            <w:r w:rsidRPr="00BE2F79">
              <w:t xml:space="preserve"> from a DL PRS resource from TRP.</w:t>
            </w:r>
          </w:p>
          <w:p w14:paraId="53FA2DEE" w14:textId="77777777" w:rsidR="00BE2F79" w:rsidRPr="00BE2F79" w:rsidRDefault="00BE2F79" w:rsidP="00BE2F79">
            <w:pPr>
              <w:numPr>
                <w:ilvl w:val="0"/>
                <w:numId w:val="49"/>
              </w:numPr>
              <w:spacing w:after="0"/>
              <w:jc w:val="both"/>
              <w:rPr>
                <w:lang w:val="en-US"/>
              </w:rPr>
            </w:pPr>
            <w:r w:rsidRPr="00BE2F79">
              <w:t>Option 4:  QCL-</w:t>
            </w:r>
            <w:proofErr w:type="spellStart"/>
            <w:r w:rsidRPr="00BE2F79">
              <w:t>TypeC</w:t>
            </w:r>
            <w:proofErr w:type="spellEnd"/>
            <w:r w:rsidRPr="00BE2F79">
              <w:t xml:space="preserve"> from a CSI-RS resource from a TRP.</w:t>
            </w:r>
          </w:p>
          <w:p w14:paraId="3FC0D702" w14:textId="77777777" w:rsidR="00BE2F79" w:rsidRPr="00BE2F79" w:rsidRDefault="00BE2F79" w:rsidP="00BE2F79">
            <w:pPr>
              <w:numPr>
                <w:ilvl w:val="1"/>
                <w:numId w:val="49"/>
              </w:numPr>
              <w:spacing w:after="0"/>
              <w:jc w:val="both"/>
              <w:rPr>
                <w:lang w:val="en-US"/>
              </w:rPr>
            </w:pPr>
            <w:r w:rsidRPr="00BE2F79">
              <w:t>FFS: Which CSI-RS resource type can be used? (e.g., CSI-RS for CSI, CSI-RS for BM, CSI-RS for TRS, CSI-RS for RLM, CSI-RS for RRM).</w:t>
            </w:r>
          </w:p>
          <w:p w14:paraId="64052F82" w14:textId="77777777" w:rsidR="00BE2F79" w:rsidRPr="00BE2F79" w:rsidRDefault="00BE2F79" w:rsidP="00BE2F79">
            <w:pPr>
              <w:numPr>
                <w:ilvl w:val="0"/>
                <w:numId w:val="49"/>
              </w:numPr>
              <w:spacing w:after="0"/>
              <w:jc w:val="both"/>
              <w:rPr>
                <w:lang w:val="en-US"/>
              </w:rPr>
            </w:pPr>
            <w:r w:rsidRPr="00BE2F79">
              <w:t>Option 5:  QCL-</w:t>
            </w:r>
            <w:proofErr w:type="spellStart"/>
            <w:r w:rsidRPr="00BE2F79">
              <w:t>TypeA</w:t>
            </w:r>
            <w:proofErr w:type="spellEnd"/>
            <w:r w:rsidRPr="00BE2F79">
              <w:t xml:space="preserve"> from a CSI-RS resource from a TRP.</w:t>
            </w:r>
          </w:p>
          <w:p w14:paraId="35FC6884" w14:textId="77777777" w:rsidR="00BE2F79" w:rsidRPr="00BE2F79" w:rsidRDefault="00BE2F79" w:rsidP="00BE2F79">
            <w:pPr>
              <w:numPr>
                <w:ilvl w:val="1"/>
                <w:numId w:val="49"/>
              </w:numPr>
              <w:spacing w:after="0"/>
              <w:jc w:val="both"/>
              <w:rPr>
                <w:lang w:val="en-US"/>
              </w:rPr>
            </w:pPr>
            <w:r w:rsidRPr="00BE2F79">
              <w:t>FFS: Which CSI-RS resource type can be used? (e.g., CSI-RS for CSI, CSI-RS for BM, CSI-RS for TRS, CSI-RS for RLM, CSI-RS for RRM).</w:t>
            </w:r>
          </w:p>
          <w:p w14:paraId="6F9201D2" w14:textId="29D76F65" w:rsidR="00BE2F79" w:rsidRPr="00BE2F79" w:rsidRDefault="00BE2F79" w:rsidP="00103E15">
            <w:pPr>
              <w:numPr>
                <w:ilvl w:val="0"/>
                <w:numId w:val="49"/>
              </w:numPr>
              <w:spacing w:after="0"/>
              <w:jc w:val="both"/>
              <w:rPr>
                <w:lang w:val="en-US"/>
              </w:rPr>
            </w:pPr>
            <w:r w:rsidRPr="00BE2F79">
              <w:t>Option 6: No QCL relation beyond Type-D is supported.</w:t>
            </w:r>
          </w:p>
        </w:tc>
      </w:tr>
    </w:tbl>
    <w:p w14:paraId="17DECFDA" w14:textId="775E4D1A" w:rsidR="00BE2F79" w:rsidRDefault="00BE2F79" w:rsidP="000B1888"/>
    <w:p w14:paraId="77C0D128" w14:textId="4AA01ACA" w:rsidR="00BE2F79" w:rsidRDefault="00BE2F79" w:rsidP="000B1888">
      <w:r>
        <w:t xml:space="preserve">It is unclear that providing QCL relations beyond Type-D would improve the positioning performance. In addition, some of the proposed benefit may already be handled by providing the UE with an expected RSTD as agreed in RAN1#98 and discussed above. </w:t>
      </w:r>
    </w:p>
    <w:p w14:paraId="7B309DA8" w14:textId="37604A2D" w:rsidR="00BE2F79" w:rsidRPr="0007251C" w:rsidRDefault="00BE2F79" w:rsidP="000B1888">
      <w:r w:rsidRPr="00103E15">
        <w:rPr>
          <w:b/>
        </w:rPr>
        <w:t xml:space="preserve">Proposal </w:t>
      </w:r>
      <w:r w:rsidR="00103E15">
        <w:rPr>
          <w:b/>
        </w:rPr>
        <w:t>7</w:t>
      </w:r>
      <w:r w:rsidRPr="00103E15">
        <w:rPr>
          <w:b/>
        </w:rPr>
        <w:t>:</w:t>
      </w:r>
      <w:r>
        <w:t xml:space="preserve"> Support option 6 of prior agreement: No QCL relation beyond Type-D is supported for DL PRS resource. </w:t>
      </w:r>
    </w:p>
    <w:p w14:paraId="10445A01" w14:textId="4B9198F2" w:rsidR="00885580" w:rsidRDefault="578D3714" w:rsidP="00885580">
      <w:pPr>
        <w:pStyle w:val="Heading1"/>
      </w:pPr>
      <w:r>
        <w:t>Conclusion</w:t>
      </w:r>
    </w:p>
    <w:p w14:paraId="5F07FA5A" w14:textId="5B819C51" w:rsidR="009C014C" w:rsidRDefault="009C014C" w:rsidP="004D4654">
      <w:pPr>
        <w:spacing w:afterLines="50" w:after="120"/>
        <w:rPr>
          <w:lang w:val="en-US"/>
        </w:rPr>
      </w:pPr>
      <w:r>
        <w:rPr>
          <w:lang w:val="en-US"/>
        </w:rPr>
        <w:t>In this contribution we make the following observations:</w:t>
      </w:r>
    </w:p>
    <w:p w14:paraId="17EA2D62" w14:textId="77777777" w:rsidR="00103E15" w:rsidRDefault="00103E15" w:rsidP="00103E15">
      <w:pPr>
        <w:rPr>
          <w:rFonts w:eastAsia="Times New Roman"/>
          <w:lang w:eastAsia="zh-CN"/>
        </w:rPr>
      </w:pPr>
      <w:r w:rsidRPr="001A53D4">
        <w:rPr>
          <w:rFonts w:eastAsia="Times New Roman"/>
          <w:b/>
          <w:bCs/>
          <w:lang w:eastAsia="zh-CN"/>
        </w:rPr>
        <w:t xml:space="preserve">Observation </w:t>
      </w:r>
      <w:r>
        <w:rPr>
          <w:rFonts w:eastAsia="Times New Roman"/>
          <w:b/>
          <w:bCs/>
          <w:lang w:eastAsia="zh-CN"/>
        </w:rPr>
        <w:t>1</w:t>
      </w:r>
      <w:r>
        <w:rPr>
          <w:rFonts w:eastAsia="Times New Roman"/>
          <w:lang w:eastAsia="zh-CN"/>
        </w:rPr>
        <w:t xml:space="preserve">: Although </w:t>
      </w:r>
      <w:r w:rsidRPr="00C2546B">
        <w:rPr>
          <w:lang w:val="en-US"/>
        </w:rPr>
        <w:t>use of UL beam alignment at FR2 through DL reception and beam correspondence</w:t>
      </w:r>
      <w:r>
        <w:rPr>
          <w:rFonts w:eastAsia="Times New Roman"/>
          <w:lang w:eastAsia="zh-CN"/>
        </w:rPr>
        <w:t xml:space="preserve"> is one of the straightforward solutions,</w:t>
      </w:r>
      <w:r>
        <w:rPr>
          <w:lang w:val="en-US"/>
        </w:rPr>
        <w:t xml:space="preserve"> a </w:t>
      </w:r>
      <w:r>
        <w:rPr>
          <w:rFonts w:eastAsia="Times New Roman"/>
          <w:lang w:eastAsia="zh-CN"/>
        </w:rPr>
        <w:t>UE may not measure the SSB/CSI-RS of all the cells that want to try to receive it for UL positioning.</w:t>
      </w:r>
    </w:p>
    <w:p w14:paraId="4412A2AF" w14:textId="77777777" w:rsidR="00103E15" w:rsidRDefault="00103E15" w:rsidP="00103E15">
      <w:pPr>
        <w:rPr>
          <w:rFonts w:eastAsia="Times New Roman"/>
          <w:lang w:eastAsia="zh-CN"/>
        </w:rPr>
      </w:pPr>
      <w:r w:rsidRPr="0005101F">
        <w:rPr>
          <w:rFonts w:eastAsia="Times New Roman"/>
          <w:b/>
          <w:lang w:eastAsia="zh-CN"/>
        </w:rPr>
        <w:t xml:space="preserve">Observation </w:t>
      </w:r>
      <w:r>
        <w:rPr>
          <w:rFonts w:eastAsia="Times New Roman"/>
          <w:b/>
          <w:lang w:eastAsia="zh-CN"/>
        </w:rPr>
        <w:t>2</w:t>
      </w:r>
      <w:r w:rsidRPr="0005101F">
        <w:rPr>
          <w:rFonts w:eastAsia="Times New Roman"/>
          <w:b/>
          <w:lang w:eastAsia="zh-CN"/>
        </w:rPr>
        <w:t>:</w:t>
      </w:r>
      <w:r>
        <w:rPr>
          <w:rFonts w:eastAsia="Times New Roman"/>
          <w:lang w:eastAsia="zh-CN"/>
        </w:rPr>
        <w:t xml:space="preserve"> The UL link budget at FR2 may limit the number of cells which can perform measurements on SRS for positioning. </w:t>
      </w:r>
    </w:p>
    <w:p w14:paraId="58672127" w14:textId="77777777" w:rsidR="00103E15" w:rsidRDefault="00103E15" w:rsidP="00103E15">
      <w:r w:rsidRPr="0007251C">
        <w:rPr>
          <w:b/>
        </w:rPr>
        <w:t xml:space="preserve">Observation </w:t>
      </w:r>
      <w:r>
        <w:rPr>
          <w:b/>
        </w:rPr>
        <w:t>3</w:t>
      </w:r>
      <w:r w:rsidRPr="0007251C">
        <w:rPr>
          <w:b/>
        </w:rPr>
        <w:t>:</w:t>
      </w:r>
      <w:r>
        <w:t xml:space="preserve"> The measurement overhead for DL PRS reception at FR2 may be quite high, </w:t>
      </w:r>
      <w:proofErr w:type="gramStart"/>
      <w:r>
        <w:t>in particular when</w:t>
      </w:r>
      <w:proofErr w:type="gramEnd"/>
      <w:r>
        <w:t xml:space="preserve"> UE RX beam sweeping is needed. </w:t>
      </w:r>
    </w:p>
    <w:p w14:paraId="6296D187" w14:textId="77777777" w:rsidR="00103E15" w:rsidRDefault="00103E15" w:rsidP="00103E15">
      <w:r w:rsidRPr="0007251C">
        <w:rPr>
          <w:b/>
        </w:rPr>
        <w:t xml:space="preserve">Observation </w:t>
      </w:r>
      <w:r>
        <w:rPr>
          <w:b/>
        </w:rPr>
        <w:t>4</w:t>
      </w:r>
      <w:r w:rsidRPr="0007251C">
        <w:rPr>
          <w:b/>
        </w:rPr>
        <w:t xml:space="preserve">: </w:t>
      </w:r>
      <w:r>
        <w:t xml:space="preserve">Knowing </w:t>
      </w:r>
      <w:proofErr w:type="spellStart"/>
      <w:r>
        <w:t>apriori</w:t>
      </w:r>
      <w:proofErr w:type="spellEnd"/>
      <w:r>
        <w:t xml:space="preserve"> which DL PRS resources (i.e., beams) the UE should measure within a DL PRS resource set would be beneficial from a measurement overhead point of view. </w:t>
      </w:r>
    </w:p>
    <w:p w14:paraId="1656B854" w14:textId="0F6EE671" w:rsidR="00103E15" w:rsidRDefault="00103E15" w:rsidP="004D4654">
      <w:pPr>
        <w:spacing w:afterLines="50" w:after="120"/>
        <w:rPr>
          <w:lang w:val="en-US"/>
        </w:rPr>
      </w:pPr>
      <w:r w:rsidRPr="006963E1">
        <w:rPr>
          <w:b/>
        </w:rPr>
        <w:t xml:space="preserve">Observation </w:t>
      </w:r>
      <w:r>
        <w:rPr>
          <w:b/>
        </w:rPr>
        <w:t>5</w:t>
      </w:r>
      <w:r w:rsidRPr="006963E1">
        <w:rPr>
          <w:b/>
        </w:rPr>
        <w:t>:</w:t>
      </w:r>
      <w:r>
        <w:t xml:space="preserve"> QCL information alone is not </w:t>
      </w:r>
      <w:proofErr w:type="gramStart"/>
      <w:r>
        <w:t>sufficient</w:t>
      </w:r>
      <w:proofErr w:type="gramEnd"/>
      <w:r>
        <w:t xml:space="preserve"> to help reduce the DL PRS measurement overhead.</w:t>
      </w:r>
    </w:p>
    <w:p w14:paraId="1CBF347E" w14:textId="3299599E" w:rsidR="009C014C" w:rsidRDefault="009C014C" w:rsidP="004D4654">
      <w:pPr>
        <w:spacing w:afterLines="50" w:after="120"/>
      </w:pPr>
      <w:r>
        <w:t>In this contribution we make the following proposals:</w:t>
      </w:r>
    </w:p>
    <w:p w14:paraId="39281CDD" w14:textId="77777777" w:rsidR="00103E15" w:rsidRDefault="00103E15" w:rsidP="00103E15">
      <w:pPr>
        <w:spacing w:afterLines="50" w:after="120"/>
        <w:rPr>
          <w:rFonts w:eastAsia="Times New Roman"/>
          <w:lang w:eastAsia="zh-CN"/>
        </w:rPr>
      </w:pPr>
      <w:r w:rsidRPr="00E24618">
        <w:rPr>
          <w:rFonts w:eastAsia="Times New Roman"/>
          <w:b/>
          <w:lang w:eastAsia="zh-CN"/>
        </w:rPr>
        <w:t xml:space="preserve">Proposal </w:t>
      </w:r>
      <w:r>
        <w:rPr>
          <w:rFonts w:eastAsia="Times New Roman"/>
          <w:b/>
          <w:lang w:eastAsia="zh-CN"/>
        </w:rPr>
        <w:t>1</w:t>
      </w:r>
      <w:r>
        <w:rPr>
          <w:rFonts w:eastAsia="Times New Roman"/>
          <w:lang w:eastAsia="zh-CN"/>
        </w:rPr>
        <w:t xml:space="preserve">: Support gNB RX beam sweeping during transmission of SRS for positioning including LMF request of number of SRS repeated transmissions. </w:t>
      </w:r>
    </w:p>
    <w:p w14:paraId="52E80E9E" w14:textId="77777777" w:rsidR="00103E15" w:rsidRDefault="00103E15" w:rsidP="00103E15">
      <w:pPr>
        <w:spacing w:afterLines="50" w:after="120"/>
      </w:pPr>
      <w:r w:rsidRPr="00A24692">
        <w:rPr>
          <w:b/>
        </w:rPr>
        <w:t xml:space="preserve">Proposal </w:t>
      </w:r>
      <w:r>
        <w:rPr>
          <w:b/>
        </w:rPr>
        <w:t>2</w:t>
      </w:r>
      <w:r>
        <w:t xml:space="preserve">: Support UE indication of SRS TX Repetition ON (i.e., SRS for positioning using the same beam) with signalling to facilitate RX beam sweeping at gNBs on SRS for positioning. </w:t>
      </w:r>
    </w:p>
    <w:p w14:paraId="43B3D361" w14:textId="77777777" w:rsidR="00103E15" w:rsidRDefault="00103E15" w:rsidP="00103E15">
      <w:r w:rsidRPr="00570795">
        <w:rPr>
          <w:b/>
        </w:rPr>
        <w:t xml:space="preserve">Proposal </w:t>
      </w:r>
      <w:r>
        <w:rPr>
          <w:b/>
        </w:rPr>
        <w:t>3</w:t>
      </w:r>
      <w:r w:rsidRPr="00570795">
        <w:rPr>
          <w:b/>
        </w:rPr>
        <w:t>:</w:t>
      </w:r>
      <w:r>
        <w:t xml:space="preserve"> For providing the UE with a search window for when the DL PRSs are expected to arrive in time support only option 1 of prior agreement.  </w:t>
      </w:r>
    </w:p>
    <w:p w14:paraId="5C1139EB" w14:textId="77777777" w:rsidR="00103E15" w:rsidRDefault="00103E15" w:rsidP="00103E15">
      <w:pPr>
        <w:jc w:val="both"/>
      </w:pPr>
      <w:r w:rsidRPr="001A3478">
        <w:rPr>
          <w:b/>
          <w:bCs/>
        </w:rPr>
        <w:t xml:space="preserve">Proposal </w:t>
      </w:r>
      <w:r>
        <w:rPr>
          <w:b/>
          <w:bCs/>
          <w:lang w:eastAsia="zh-CN"/>
        </w:rPr>
        <w:t>4</w:t>
      </w:r>
      <w:r w:rsidRPr="001A3478">
        <w:rPr>
          <w:b/>
          <w:bCs/>
        </w:rPr>
        <w:t>:</w:t>
      </w:r>
      <w:r>
        <w:t xml:space="preserve"> Support UE requested BWP switching for DL PRS reception.</w:t>
      </w:r>
    </w:p>
    <w:p w14:paraId="0F7EDC93" w14:textId="77777777" w:rsidR="00103E15" w:rsidRDefault="00103E15" w:rsidP="00103E15">
      <w:r w:rsidRPr="005373F3">
        <w:rPr>
          <w:b/>
        </w:rPr>
        <w:t xml:space="preserve">Proposal </w:t>
      </w:r>
      <w:r>
        <w:rPr>
          <w:b/>
          <w:lang w:eastAsia="zh-CN"/>
        </w:rPr>
        <w:t>5</w:t>
      </w:r>
      <w:r w:rsidRPr="005373F3">
        <w:rPr>
          <w:b/>
        </w:rPr>
        <w:t>:</w:t>
      </w:r>
      <w:r>
        <w:t xml:space="preserve"> Regarding Rel-16 SRS transmission for UL positioning, RAN1 needs to clarify UE transmission behaviour in UL BWP between two options</w:t>
      </w:r>
    </w:p>
    <w:p w14:paraId="10E0BBDC" w14:textId="77777777" w:rsidR="00103E15" w:rsidRDefault="00103E15" w:rsidP="00103E15">
      <w:pPr>
        <w:ind w:left="284"/>
      </w:pPr>
      <w:r>
        <w:t>(</w:t>
      </w:r>
      <w:proofErr w:type="spellStart"/>
      <w:r>
        <w:t>i</w:t>
      </w:r>
      <w:proofErr w:type="spellEnd"/>
      <w:r>
        <w:t xml:space="preserve">) transmit Rel-16 SRS for positioning </w:t>
      </w:r>
      <w:r w:rsidRPr="002B53A8">
        <w:t xml:space="preserve">within the active </w:t>
      </w:r>
      <w:r>
        <w:t xml:space="preserve">UL </w:t>
      </w:r>
      <w:r w:rsidRPr="002B53A8">
        <w:t>BWP</w:t>
      </w:r>
    </w:p>
    <w:p w14:paraId="1893B334" w14:textId="77777777" w:rsidR="00103E15" w:rsidRDefault="00103E15" w:rsidP="00103E15">
      <w:pPr>
        <w:ind w:firstLine="284"/>
      </w:pPr>
      <w:r>
        <w:t>(ii) transmit Rel-16 SRS for positioning in outside of active UL BWP (i.e. the largest BWP)</w:t>
      </w:r>
    </w:p>
    <w:p w14:paraId="5FDAFEC5" w14:textId="77777777" w:rsidR="00103E15" w:rsidRDefault="00103E15" w:rsidP="00103E15">
      <w:r w:rsidRPr="00103E15">
        <w:rPr>
          <w:b/>
        </w:rPr>
        <w:t xml:space="preserve">Proposal </w:t>
      </w:r>
      <w:r>
        <w:rPr>
          <w:b/>
        </w:rPr>
        <w:t>6</w:t>
      </w:r>
      <w:r>
        <w:t xml:space="preserve">: Do not support CSI-RS as a DL pathloss reference for </w:t>
      </w:r>
      <w:proofErr w:type="spellStart"/>
      <w:r>
        <w:t>neighboring</w:t>
      </w:r>
      <w:proofErr w:type="spellEnd"/>
      <w:r>
        <w:t xml:space="preserve"> cells for the purpose of power control. </w:t>
      </w:r>
    </w:p>
    <w:p w14:paraId="400FCC94" w14:textId="35AADD1C" w:rsidR="00103E15" w:rsidRDefault="00103E15" w:rsidP="004D4654">
      <w:pPr>
        <w:spacing w:afterLines="50" w:after="120"/>
      </w:pPr>
      <w:r w:rsidRPr="00103E15">
        <w:rPr>
          <w:b/>
        </w:rPr>
        <w:t xml:space="preserve">Proposal </w:t>
      </w:r>
      <w:r>
        <w:rPr>
          <w:b/>
        </w:rPr>
        <w:t>7</w:t>
      </w:r>
      <w:r w:rsidRPr="00103E15">
        <w:rPr>
          <w:b/>
        </w:rPr>
        <w:t>:</w:t>
      </w:r>
      <w:r>
        <w:t xml:space="preserve"> Support option 6 of prior agreement: No QCL relation beyond Type-D is supported for DL PRS resource.</w:t>
      </w:r>
    </w:p>
    <w:p w14:paraId="53CD9119" w14:textId="77777777" w:rsidR="00885580" w:rsidRPr="00ED1327" w:rsidRDefault="00885580" w:rsidP="00885580">
      <w:pPr>
        <w:pStyle w:val="Heading1"/>
        <w:numPr>
          <w:ilvl w:val="0"/>
          <w:numId w:val="0"/>
        </w:numPr>
      </w:pPr>
      <w:r>
        <w:t>References</w:t>
      </w:r>
    </w:p>
    <w:p w14:paraId="021C7B3D" w14:textId="03F48DA2" w:rsidR="000659FD" w:rsidRDefault="000659FD">
      <w:pPr>
        <w:pStyle w:val="ListParagraph"/>
        <w:numPr>
          <w:ilvl w:val="0"/>
          <w:numId w:val="16"/>
        </w:numPr>
        <w:rPr>
          <w:sz w:val="20"/>
          <w:szCs w:val="20"/>
          <w:lang w:val="en-US"/>
        </w:rPr>
      </w:pPr>
      <w:r w:rsidRPr="00A04263">
        <w:rPr>
          <w:sz w:val="20"/>
          <w:szCs w:val="20"/>
          <w:lang w:val="en-US"/>
        </w:rPr>
        <w:t xml:space="preserve">RP-190723, “New WID: NR Positioning Support”, Intel Corporation, Ericsson, RAN#83, Shenzhen, China, March 18-21, 2019. </w:t>
      </w:r>
    </w:p>
    <w:p w14:paraId="5FF13F5C" w14:textId="2D9D0821" w:rsidR="00D05105" w:rsidRPr="00674CA6" w:rsidRDefault="00D05105">
      <w:pPr>
        <w:pStyle w:val="ListParagraph"/>
        <w:numPr>
          <w:ilvl w:val="0"/>
          <w:numId w:val="16"/>
        </w:numPr>
        <w:rPr>
          <w:sz w:val="20"/>
          <w:szCs w:val="20"/>
          <w:lang w:val="en-US"/>
        </w:rPr>
      </w:pPr>
      <w:r>
        <w:rPr>
          <w:sz w:val="20"/>
          <w:szCs w:val="20"/>
          <w:lang w:val="en-US"/>
        </w:rPr>
        <w:t>R1-19</w:t>
      </w:r>
      <w:r w:rsidR="00372655">
        <w:rPr>
          <w:sz w:val="20"/>
          <w:szCs w:val="20"/>
          <w:lang w:val="en-US"/>
        </w:rPr>
        <w:t>10887</w:t>
      </w:r>
      <w:r>
        <w:rPr>
          <w:sz w:val="20"/>
          <w:szCs w:val="20"/>
          <w:lang w:val="en-US"/>
        </w:rPr>
        <w:t xml:space="preserve">, “Views on </w:t>
      </w:r>
      <w:r w:rsidR="00BF4154">
        <w:rPr>
          <w:sz w:val="20"/>
          <w:szCs w:val="20"/>
          <w:lang w:val="en-US"/>
        </w:rPr>
        <w:t>D</w:t>
      </w:r>
      <w:r>
        <w:rPr>
          <w:sz w:val="20"/>
          <w:szCs w:val="20"/>
          <w:lang w:val="en-US"/>
        </w:rPr>
        <w:t>L reference signals for NR Positioning”, Nokia, Nokia Shanghai Bell, RAN1#</w:t>
      </w:r>
      <w:bookmarkStart w:id="4" w:name="_Hlk13822253"/>
      <w:r>
        <w:rPr>
          <w:sz w:val="20"/>
          <w:szCs w:val="20"/>
          <w:lang w:val="en-US"/>
        </w:rPr>
        <w:t>9</w:t>
      </w:r>
      <w:r w:rsidR="003919D0">
        <w:rPr>
          <w:sz w:val="20"/>
          <w:szCs w:val="20"/>
          <w:lang w:val="en-US"/>
        </w:rPr>
        <w:t>8</w:t>
      </w:r>
      <w:r w:rsidR="00856192">
        <w:rPr>
          <w:sz w:val="20"/>
          <w:szCs w:val="20"/>
          <w:lang w:val="en-US"/>
        </w:rPr>
        <w:t>-bis</w:t>
      </w:r>
      <w:r>
        <w:rPr>
          <w:sz w:val="20"/>
          <w:szCs w:val="20"/>
          <w:lang w:val="en-US"/>
        </w:rPr>
        <w:t xml:space="preserve">, </w:t>
      </w:r>
      <w:r w:rsidR="00856192">
        <w:rPr>
          <w:sz w:val="20"/>
          <w:szCs w:val="20"/>
          <w:lang w:val="en-US"/>
        </w:rPr>
        <w:t>Chongqing, China</w:t>
      </w:r>
      <w:r>
        <w:rPr>
          <w:sz w:val="20"/>
          <w:szCs w:val="20"/>
          <w:lang w:val="en-US"/>
        </w:rPr>
        <w:t>.</w:t>
      </w:r>
      <w:bookmarkEnd w:id="4"/>
    </w:p>
    <w:p w14:paraId="44AE22DC" w14:textId="6A9ECA06" w:rsidR="002B27FA" w:rsidRPr="002B27FA" w:rsidRDefault="00AD372F" w:rsidP="002B27FA">
      <w:pPr>
        <w:pStyle w:val="ListParagraph"/>
        <w:numPr>
          <w:ilvl w:val="0"/>
          <w:numId w:val="16"/>
        </w:numPr>
        <w:rPr>
          <w:sz w:val="20"/>
          <w:szCs w:val="20"/>
          <w:lang w:val="en-US"/>
        </w:rPr>
      </w:pPr>
      <w:bookmarkStart w:id="5" w:name="_Hlk4508146"/>
      <w:r w:rsidRPr="00D05105">
        <w:rPr>
          <w:sz w:val="20"/>
          <w:szCs w:val="20"/>
          <w:lang w:val="en-US"/>
        </w:rPr>
        <w:lastRenderedPageBreak/>
        <w:t>R1-</w:t>
      </w:r>
      <w:r w:rsidR="00D45094" w:rsidRPr="00D05105">
        <w:rPr>
          <w:sz w:val="20"/>
          <w:szCs w:val="20"/>
          <w:lang w:val="en-US"/>
        </w:rPr>
        <w:t>19</w:t>
      </w:r>
      <w:r w:rsidR="00372655">
        <w:rPr>
          <w:sz w:val="20"/>
          <w:szCs w:val="20"/>
          <w:lang w:val="en-US"/>
        </w:rPr>
        <w:t>10888</w:t>
      </w:r>
      <w:r w:rsidRPr="00D05105">
        <w:rPr>
          <w:sz w:val="20"/>
          <w:szCs w:val="20"/>
          <w:lang w:val="en-US"/>
        </w:rPr>
        <w:t>, “</w:t>
      </w:r>
      <w:r w:rsidR="00151499">
        <w:rPr>
          <w:sz w:val="20"/>
          <w:szCs w:val="20"/>
          <w:lang w:val="en-US"/>
        </w:rPr>
        <w:t>Views on UL reference signals for NR Positioning</w:t>
      </w:r>
      <w:r w:rsidRPr="00D05105">
        <w:rPr>
          <w:sz w:val="20"/>
          <w:szCs w:val="20"/>
          <w:lang w:val="en-US"/>
        </w:rPr>
        <w:t xml:space="preserve">”, Nokia, Nokia Shanghai Bell, </w:t>
      </w:r>
      <w:r w:rsidR="00D05105">
        <w:rPr>
          <w:sz w:val="20"/>
          <w:szCs w:val="20"/>
          <w:lang w:val="en-US"/>
        </w:rPr>
        <w:t>RAN1#</w:t>
      </w:r>
      <w:r w:rsidR="003919D0" w:rsidRPr="003919D0">
        <w:rPr>
          <w:sz w:val="20"/>
          <w:szCs w:val="20"/>
          <w:lang w:val="en-US"/>
        </w:rPr>
        <w:t>98</w:t>
      </w:r>
      <w:r w:rsidR="00856192">
        <w:rPr>
          <w:sz w:val="20"/>
          <w:szCs w:val="20"/>
          <w:lang w:val="en-US"/>
        </w:rPr>
        <w:t>-bis</w:t>
      </w:r>
      <w:r w:rsidR="003919D0" w:rsidRPr="003919D0">
        <w:rPr>
          <w:sz w:val="20"/>
          <w:szCs w:val="20"/>
          <w:lang w:val="en-US"/>
        </w:rPr>
        <w:t xml:space="preserve">, </w:t>
      </w:r>
      <w:r w:rsidR="00856192">
        <w:rPr>
          <w:sz w:val="20"/>
          <w:szCs w:val="20"/>
          <w:lang w:val="en-US"/>
        </w:rPr>
        <w:t>Chongqing, China</w:t>
      </w:r>
      <w:r w:rsidR="003919D0" w:rsidRPr="003919D0">
        <w:rPr>
          <w:sz w:val="20"/>
          <w:szCs w:val="20"/>
          <w:lang w:val="en-US"/>
        </w:rPr>
        <w:t>.</w:t>
      </w:r>
    </w:p>
    <w:p w14:paraId="3F89373F" w14:textId="0E4927BF" w:rsidR="00AD372F" w:rsidRDefault="00AD372F" w:rsidP="001D5937">
      <w:pPr>
        <w:pStyle w:val="ListParagraph"/>
        <w:numPr>
          <w:ilvl w:val="0"/>
          <w:numId w:val="16"/>
        </w:numPr>
        <w:rPr>
          <w:sz w:val="20"/>
          <w:szCs w:val="20"/>
          <w:lang w:val="en-US"/>
        </w:rPr>
      </w:pPr>
      <w:r w:rsidRPr="00D05105">
        <w:rPr>
          <w:sz w:val="20"/>
          <w:szCs w:val="20"/>
          <w:lang w:val="en-US"/>
        </w:rPr>
        <w:t>R1-</w:t>
      </w:r>
      <w:r w:rsidR="00D45094" w:rsidRPr="00D05105">
        <w:rPr>
          <w:sz w:val="20"/>
          <w:szCs w:val="20"/>
          <w:lang w:val="en-US"/>
        </w:rPr>
        <w:t>19</w:t>
      </w:r>
      <w:r w:rsidR="00372655">
        <w:rPr>
          <w:sz w:val="20"/>
          <w:szCs w:val="20"/>
          <w:lang w:val="en-US"/>
        </w:rPr>
        <w:t>10889</w:t>
      </w:r>
      <w:r w:rsidRPr="00D05105">
        <w:rPr>
          <w:sz w:val="20"/>
          <w:szCs w:val="20"/>
          <w:lang w:val="en-US"/>
        </w:rPr>
        <w:t>, “</w:t>
      </w:r>
      <w:r w:rsidR="00280B72">
        <w:rPr>
          <w:sz w:val="20"/>
          <w:szCs w:val="20"/>
          <w:lang w:val="en-US"/>
        </w:rPr>
        <w:t>Measurements</w:t>
      </w:r>
      <w:r w:rsidRPr="00D05105">
        <w:rPr>
          <w:sz w:val="20"/>
          <w:szCs w:val="20"/>
          <w:lang w:val="en-US"/>
        </w:rPr>
        <w:t xml:space="preserve"> for NR Positioning”, Nokia, Nokia Shanghai Bell,</w:t>
      </w:r>
      <w:r w:rsidR="00D05105" w:rsidRPr="00D05105">
        <w:rPr>
          <w:sz w:val="20"/>
          <w:szCs w:val="20"/>
          <w:lang w:val="en-US"/>
        </w:rPr>
        <w:t xml:space="preserve"> </w:t>
      </w:r>
      <w:r w:rsidR="00D05105">
        <w:rPr>
          <w:sz w:val="20"/>
          <w:szCs w:val="20"/>
          <w:lang w:val="en-US"/>
        </w:rPr>
        <w:t>RAN1#</w:t>
      </w:r>
      <w:r w:rsidR="002B27FA">
        <w:rPr>
          <w:sz w:val="20"/>
          <w:szCs w:val="20"/>
          <w:lang w:val="en-US"/>
        </w:rPr>
        <w:t>98</w:t>
      </w:r>
      <w:r w:rsidR="00856192">
        <w:rPr>
          <w:sz w:val="20"/>
          <w:szCs w:val="20"/>
          <w:lang w:val="en-US"/>
        </w:rPr>
        <w:t>-bis</w:t>
      </w:r>
      <w:r w:rsidR="002B27FA">
        <w:rPr>
          <w:sz w:val="20"/>
          <w:szCs w:val="20"/>
          <w:lang w:val="en-US"/>
        </w:rPr>
        <w:t xml:space="preserve">, </w:t>
      </w:r>
      <w:r w:rsidR="00856192">
        <w:rPr>
          <w:sz w:val="20"/>
          <w:szCs w:val="20"/>
          <w:lang w:val="en-US"/>
        </w:rPr>
        <w:t>Chongqing</w:t>
      </w:r>
      <w:r w:rsidR="002B27FA">
        <w:rPr>
          <w:sz w:val="20"/>
          <w:szCs w:val="20"/>
          <w:lang w:val="en-US"/>
        </w:rPr>
        <w:t>, C</w:t>
      </w:r>
      <w:r w:rsidR="00856192">
        <w:rPr>
          <w:sz w:val="20"/>
          <w:szCs w:val="20"/>
          <w:lang w:val="en-US"/>
        </w:rPr>
        <w:t>hina</w:t>
      </w:r>
      <w:r w:rsidR="002B27FA">
        <w:rPr>
          <w:sz w:val="20"/>
          <w:szCs w:val="20"/>
          <w:lang w:val="en-US"/>
        </w:rPr>
        <w:t>.</w:t>
      </w:r>
      <w:r w:rsidRPr="00D05105">
        <w:rPr>
          <w:sz w:val="20"/>
          <w:szCs w:val="20"/>
          <w:lang w:val="en-US"/>
        </w:rPr>
        <w:t xml:space="preserve"> </w:t>
      </w:r>
    </w:p>
    <w:p w14:paraId="4DF0B6ED" w14:textId="5AB7FBD5" w:rsidR="00C63848" w:rsidRPr="00C63848" w:rsidRDefault="00C63848" w:rsidP="00C63848">
      <w:pPr>
        <w:pStyle w:val="ListParagraph"/>
        <w:ind w:left="360"/>
        <w:rPr>
          <w:sz w:val="20"/>
          <w:szCs w:val="20"/>
          <w:lang w:val="en-US"/>
        </w:rPr>
      </w:pPr>
    </w:p>
    <w:bookmarkEnd w:id="5"/>
    <w:p w14:paraId="7FF5F37B" w14:textId="77777777" w:rsidR="00961EE9" w:rsidRPr="00C63848" w:rsidRDefault="00961EE9" w:rsidP="00C63848">
      <w:pPr>
        <w:pStyle w:val="ListParagraph"/>
        <w:ind w:left="360"/>
        <w:rPr>
          <w:sz w:val="20"/>
          <w:szCs w:val="20"/>
          <w:lang w:val="en-US"/>
        </w:rPr>
      </w:pPr>
    </w:p>
    <w:sectPr w:rsidR="00961EE9" w:rsidRPr="00C63848" w:rsidSect="00BE2F7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65F93" w14:textId="77777777" w:rsidR="00506E91" w:rsidRDefault="00506E91">
      <w:r>
        <w:separator/>
      </w:r>
    </w:p>
  </w:endnote>
  <w:endnote w:type="continuationSeparator" w:id="0">
    <w:p w14:paraId="0E70F407" w14:textId="77777777" w:rsidR="00506E91" w:rsidRDefault="00506E91">
      <w:r>
        <w:continuationSeparator/>
      </w:r>
    </w:p>
  </w:endnote>
  <w:endnote w:type="continuationNotice" w:id="1">
    <w:p w14:paraId="3F601100" w14:textId="77777777" w:rsidR="00506E91" w:rsidRDefault="00506E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78B557" w14:textId="77777777" w:rsidR="00506E91" w:rsidRDefault="00506E91">
      <w:r>
        <w:separator/>
      </w:r>
    </w:p>
  </w:footnote>
  <w:footnote w:type="continuationSeparator" w:id="0">
    <w:p w14:paraId="291A980E" w14:textId="77777777" w:rsidR="00506E91" w:rsidRDefault="00506E91">
      <w:r>
        <w:continuationSeparator/>
      </w:r>
    </w:p>
  </w:footnote>
  <w:footnote w:type="continuationNotice" w:id="1">
    <w:p w14:paraId="77EE5467" w14:textId="77777777" w:rsidR="00506E91" w:rsidRDefault="00506E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F060B1"/>
    <w:multiLevelType w:val="hybridMultilevel"/>
    <w:tmpl w:val="AF0E3492"/>
    <w:lvl w:ilvl="0" w:tplc="23085E7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6C0E90"/>
    <w:multiLevelType w:val="multilevel"/>
    <w:tmpl w:val="DC98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6842E3"/>
    <w:multiLevelType w:val="multilevel"/>
    <w:tmpl w:val="782A5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986C80"/>
    <w:multiLevelType w:val="hybridMultilevel"/>
    <w:tmpl w:val="5A140D54"/>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84A0002"/>
    <w:multiLevelType w:val="hybridMultilevel"/>
    <w:tmpl w:val="DD3E3D00"/>
    <w:lvl w:ilvl="0" w:tplc="6E5C4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FF35E2"/>
    <w:multiLevelType w:val="hybridMultilevel"/>
    <w:tmpl w:val="ADCAD3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24C66B6A"/>
    <w:multiLevelType w:val="hybridMultilevel"/>
    <w:tmpl w:val="283000F4"/>
    <w:lvl w:ilvl="0" w:tplc="6768931C">
      <w:numFmt w:val="bullet"/>
      <w:lvlText w:val="-"/>
      <w:lvlJc w:val="left"/>
      <w:pPr>
        <w:ind w:left="1562" w:hanging="360"/>
      </w:pPr>
      <w:rPr>
        <w:rFonts w:ascii="Times" w:eastAsia="Times New Roman" w:hAnsi="Times" w:cs="Times" w:hint="default"/>
      </w:rPr>
    </w:lvl>
    <w:lvl w:ilvl="1" w:tplc="04070003" w:tentative="1">
      <w:start w:val="1"/>
      <w:numFmt w:val="bullet"/>
      <w:lvlText w:val="o"/>
      <w:lvlJc w:val="left"/>
      <w:pPr>
        <w:ind w:left="2282" w:hanging="360"/>
      </w:pPr>
      <w:rPr>
        <w:rFonts w:ascii="Courier New" w:hAnsi="Courier New" w:cs="Courier New" w:hint="default"/>
      </w:rPr>
    </w:lvl>
    <w:lvl w:ilvl="2" w:tplc="04070005" w:tentative="1">
      <w:start w:val="1"/>
      <w:numFmt w:val="bullet"/>
      <w:lvlText w:val=""/>
      <w:lvlJc w:val="left"/>
      <w:pPr>
        <w:ind w:left="3002" w:hanging="360"/>
      </w:pPr>
      <w:rPr>
        <w:rFonts w:ascii="Wingdings" w:hAnsi="Wingdings" w:hint="default"/>
      </w:rPr>
    </w:lvl>
    <w:lvl w:ilvl="3" w:tplc="04070001" w:tentative="1">
      <w:start w:val="1"/>
      <w:numFmt w:val="bullet"/>
      <w:lvlText w:val=""/>
      <w:lvlJc w:val="left"/>
      <w:pPr>
        <w:ind w:left="3722" w:hanging="360"/>
      </w:pPr>
      <w:rPr>
        <w:rFonts w:ascii="Symbol" w:hAnsi="Symbol" w:hint="default"/>
      </w:rPr>
    </w:lvl>
    <w:lvl w:ilvl="4" w:tplc="04070003" w:tentative="1">
      <w:start w:val="1"/>
      <w:numFmt w:val="bullet"/>
      <w:lvlText w:val="o"/>
      <w:lvlJc w:val="left"/>
      <w:pPr>
        <w:ind w:left="4442" w:hanging="360"/>
      </w:pPr>
      <w:rPr>
        <w:rFonts w:ascii="Courier New" w:hAnsi="Courier New" w:cs="Courier New" w:hint="default"/>
      </w:rPr>
    </w:lvl>
    <w:lvl w:ilvl="5" w:tplc="04070005" w:tentative="1">
      <w:start w:val="1"/>
      <w:numFmt w:val="bullet"/>
      <w:lvlText w:val=""/>
      <w:lvlJc w:val="left"/>
      <w:pPr>
        <w:ind w:left="5162" w:hanging="360"/>
      </w:pPr>
      <w:rPr>
        <w:rFonts w:ascii="Wingdings" w:hAnsi="Wingdings" w:hint="default"/>
      </w:rPr>
    </w:lvl>
    <w:lvl w:ilvl="6" w:tplc="04070001" w:tentative="1">
      <w:start w:val="1"/>
      <w:numFmt w:val="bullet"/>
      <w:lvlText w:val=""/>
      <w:lvlJc w:val="left"/>
      <w:pPr>
        <w:ind w:left="5882" w:hanging="360"/>
      </w:pPr>
      <w:rPr>
        <w:rFonts w:ascii="Symbol" w:hAnsi="Symbol" w:hint="default"/>
      </w:rPr>
    </w:lvl>
    <w:lvl w:ilvl="7" w:tplc="04070003" w:tentative="1">
      <w:start w:val="1"/>
      <w:numFmt w:val="bullet"/>
      <w:lvlText w:val="o"/>
      <w:lvlJc w:val="left"/>
      <w:pPr>
        <w:ind w:left="6602" w:hanging="360"/>
      </w:pPr>
      <w:rPr>
        <w:rFonts w:ascii="Courier New" w:hAnsi="Courier New" w:cs="Courier New" w:hint="default"/>
      </w:rPr>
    </w:lvl>
    <w:lvl w:ilvl="8" w:tplc="04070005" w:tentative="1">
      <w:start w:val="1"/>
      <w:numFmt w:val="bullet"/>
      <w:lvlText w:val=""/>
      <w:lvlJc w:val="left"/>
      <w:pPr>
        <w:ind w:left="7322" w:hanging="360"/>
      </w:pPr>
      <w:rPr>
        <w:rFonts w:ascii="Wingdings" w:hAnsi="Wingdings" w:hint="default"/>
      </w:rPr>
    </w:lvl>
  </w:abstractNum>
  <w:abstractNum w:abstractNumId="12" w15:restartNumberingAfterBreak="0">
    <w:nsid w:val="278F4C37"/>
    <w:multiLevelType w:val="hybridMultilevel"/>
    <w:tmpl w:val="2780D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550151"/>
    <w:multiLevelType w:val="hybridMultilevel"/>
    <w:tmpl w:val="6D8C2DE6"/>
    <w:lvl w:ilvl="0" w:tplc="3EFE2910">
      <w:start w:val="1"/>
      <w:numFmt w:val="bullet"/>
      <w:lvlText w:val="•"/>
      <w:lvlJc w:val="left"/>
      <w:pPr>
        <w:tabs>
          <w:tab w:val="num" w:pos="720"/>
        </w:tabs>
        <w:ind w:left="720" w:hanging="360"/>
      </w:pPr>
      <w:rPr>
        <w:rFonts w:ascii="Arial" w:hAnsi="Arial" w:hint="default"/>
      </w:rPr>
    </w:lvl>
    <w:lvl w:ilvl="1" w:tplc="B0E6F9B4" w:tentative="1">
      <w:start w:val="1"/>
      <w:numFmt w:val="bullet"/>
      <w:lvlText w:val="•"/>
      <w:lvlJc w:val="left"/>
      <w:pPr>
        <w:tabs>
          <w:tab w:val="num" w:pos="1440"/>
        </w:tabs>
        <w:ind w:left="1440" w:hanging="360"/>
      </w:pPr>
      <w:rPr>
        <w:rFonts w:ascii="Arial" w:hAnsi="Arial" w:hint="default"/>
      </w:rPr>
    </w:lvl>
    <w:lvl w:ilvl="2" w:tplc="15F26868" w:tentative="1">
      <w:start w:val="1"/>
      <w:numFmt w:val="bullet"/>
      <w:lvlText w:val="•"/>
      <w:lvlJc w:val="left"/>
      <w:pPr>
        <w:tabs>
          <w:tab w:val="num" w:pos="2160"/>
        </w:tabs>
        <w:ind w:left="2160" w:hanging="360"/>
      </w:pPr>
      <w:rPr>
        <w:rFonts w:ascii="Arial" w:hAnsi="Arial" w:hint="default"/>
      </w:rPr>
    </w:lvl>
    <w:lvl w:ilvl="3" w:tplc="CAFA5506" w:tentative="1">
      <w:start w:val="1"/>
      <w:numFmt w:val="bullet"/>
      <w:lvlText w:val="•"/>
      <w:lvlJc w:val="left"/>
      <w:pPr>
        <w:tabs>
          <w:tab w:val="num" w:pos="2880"/>
        </w:tabs>
        <w:ind w:left="2880" w:hanging="360"/>
      </w:pPr>
      <w:rPr>
        <w:rFonts w:ascii="Arial" w:hAnsi="Arial" w:hint="default"/>
      </w:rPr>
    </w:lvl>
    <w:lvl w:ilvl="4" w:tplc="58B6D048" w:tentative="1">
      <w:start w:val="1"/>
      <w:numFmt w:val="bullet"/>
      <w:lvlText w:val="•"/>
      <w:lvlJc w:val="left"/>
      <w:pPr>
        <w:tabs>
          <w:tab w:val="num" w:pos="3600"/>
        </w:tabs>
        <w:ind w:left="3600" w:hanging="360"/>
      </w:pPr>
      <w:rPr>
        <w:rFonts w:ascii="Arial" w:hAnsi="Arial" w:hint="default"/>
      </w:rPr>
    </w:lvl>
    <w:lvl w:ilvl="5" w:tplc="D0F8789E" w:tentative="1">
      <w:start w:val="1"/>
      <w:numFmt w:val="bullet"/>
      <w:lvlText w:val="•"/>
      <w:lvlJc w:val="left"/>
      <w:pPr>
        <w:tabs>
          <w:tab w:val="num" w:pos="4320"/>
        </w:tabs>
        <w:ind w:left="4320" w:hanging="360"/>
      </w:pPr>
      <w:rPr>
        <w:rFonts w:ascii="Arial" w:hAnsi="Arial" w:hint="default"/>
      </w:rPr>
    </w:lvl>
    <w:lvl w:ilvl="6" w:tplc="A1D60B70" w:tentative="1">
      <w:start w:val="1"/>
      <w:numFmt w:val="bullet"/>
      <w:lvlText w:val="•"/>
      <w:lvlJc w:val="left"/>
      <w:pPr>
        <w:tabs>
          <w:tab w:val="num" w:pos="5040"/>
        </w:tabs>
        <w:ind w:left="5040" w:hanging="360"/>
      </w:pPr>
      <w:rPr>
        <w:rFonts w:ascii="Arial" w:hAnsi="Arial" w:hint="default"/>
      </w:rPr>
    </w:lvl>
    <w:lvl w:ilvl="7" w:tplc="32C88506" w:tentative="1">
      <w:start w:val="1"/>
      <w:numFmt w:val="bullet"/>
      <w:lvlText w:val="•"/>
      <w:lvlJc w:val="left"/>
      <w:pPr>
        <w:tabs>
          <w:tab w:val="num" w:pos="5760"/>
        </w:tabs>
        <w:ind w:left="5760" w:hanging="360"/>
      </w:pPr>
      <w:rPr>
        <w:rFonts w:ascii="Arial" w:hAnsi="Arial" w:hint="default"/>
      </w:rPr>
    </w:lvl>
    <w:lvl w:ilvl="8" w:tplc="BF0A7B3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1F1868"/>
    <w:multiLevelType w:val="multilevel"/>
    <w:tmpl w:val="1A52288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F0A4B5A"/>
    <w:multiLevelType w:val="hybridMultilevel"/>
    <w:tmpl w:val="073A9B32"/>
    <w:lvl w:ilvl="0" w:tplc="48E8466C">
      <w:start w:val="1"/>
      <w:numFmt w:val="bullet"/>
      <w:lvlText w:val=""/>
      <w:lvlJc w:val="left"/>
      <w:pPr>
        <w:tabs>
          <w:tab w:val="num" w:pos="720"/>
        </w:tabs>
        <w:ind w:left="720" w:hanging="360"/>
      </w:pPr>
      <w:rPr>
        <w:rFonts w:ascii="Symbol" w:hAnsi="Symbol" w:hint="default"/>
      </w:rPr>
    </w:lvl>
    <w:lvl w:ilvl="1" w:tplc="2258CEF4">
      <w:start w:val="183"/>
      <w:numFmt w:val="bullet"/>
      <w:lvlText w:val="o"/>
      <w:lvlJc w:val="left"/>
      <w:pPr>
        <w:tabs>
          <w:tab w:val="num" w:pos="1440"/>
        </w:tabs>
        <w:ind w:left="1440" w:hanging="360"/>
      </w:pPr>
      <w:rPr>
        <w:rFonts w:ascii="Courier New" w:hAnsi="Courier New" w:hint="default"/>
      </w:rPr>
    </w:lvl>
    <w:lvl w:ilvl="2" w:tplc="25DCCF86" w:tentative="1">
      <w:start w:val="1"/>
      <w:numFmt w:val="bullet"/>
      <w:lvlText w:val=""/>
      <w:lvlJc w:val="left"/>
      <w:pPr>
        <w:tabs>
          <w:tab w:val="num" w:pos="2160"/>
        </w:tabs>
        <w:ind w:left="2160" w:hanging="360"/>
      </w:pPr>
      <w:rPr>
        <w:rFonts w:ascii="Symbol" w:hAnsi="Symbol" w:hint="default"/>
      </w:rPr>
    </w:lvl>
    <w:lvl w:ilvl="3" w:tplc="BD4C9590" w:tentative="1">
      <w:start w:val="1"/>
      <w:numFmt w:val="bullet"/>
      <w:lvlText w:val=""/>
      <w:lvlJc w:val="left"/>
      <w:pPr>
        <w:tabs>
          <w:tab w:val="num" w:pos="2880"/>
        </w:tabs>
        <w:ind w:left="2880" w:hanging="360"/>
      </w:pPr>
      <w:rPr>
        <w:rFonts w:ascii="Symbol" w:hAnsi="Symbol" w:hint="default"/>
      </w:rPr>
    </w:lvl>
    <w:lvl w:ilvl="4" w:tplc="575CCACA" w:tentative="1">
      <w:start w:val="1"/>
      <w:numFmt w:val="bullet"/>
      <w:lvlText w:val=""/>
      <w:lvlJc w:val="left"/>
      <w:pPr>
        <w:tabs>
          <w:tab w:val="num" w:pos="3600"/>
        </w:tabs>
        <w:ind w:left="3600" w:hanging="360"/>
      </w:pPr>
      <w:rPr>
        <w:rFonts w:ascii="Symbol" w:hAnsi="Symbol" w:hint="default"/>
      </w:rPr>
    </w:lvl>
    <w:lvl w:ilvl="5" w:tplc="398636E2" w:tentative="1">
      <w:start w:val="1"/>
      <w:numFmt w:val="bullet"/>
      <w:lvlText w:val=""/>
      <w:lvlJc w:val="left"/>
      <w:pPr>
        <w:tabs>
          <w:tab w:val="num" w:pos="4320"/>
        </w:tabs>
        <w:ind w:left="4320" w:hanging="360"/>
      </w:pPr>
      <w:rPr>
        <w:rFonts w:ascii="Symbol" w:hAnsi="Symbol" w:hint="default"/>
      </w:rPr>
    </w:lvl>
    <w:lvl w:ilvl="6" w:tplc="F8F6ADF6" w:tentative="1">
      <w:start w:val="1"/>
      <w:numFmt w:val="bullet"/>
      <w:lvlText w:val=""/>
      <w:lvlJc w:val="left"/>
      <w:pPr>
        <w:tabs>
          <w:tab w:val="num" w:pos="5040"/>
        </w:tabs>
        <w:ind w:left="5040" w:hanging="360"/>
      </w:pPr>
      <w:rPr>
        <w:rFonts w:ascii="Symbol" w:hAnsi="Symbol" w:hint="default"/>
      </w:rPr>
    </w:lvl>
    <w:lvl w:ilvl="7" w:tplc="6646E3E4" w:tentative="1">
      <w:start w:val="1"/>
      <w:numFmt w:val="bullet"/>
      <w:lvlText w:val=""/>
      <w:lvlJc w:val="left"/>
      <w:pPr>
        <w:tabs>
          <w:tab w:val="num" w:pos="5760"/>
        </w:tabs>
        <w:ind w:left="5760" w:hanging="360"/>
      </w:pPr>
      <w:rPr>
        <w:rFonts w:ascii="Symbol" w:hAnsi="Symbol" w:hint="default"/>
      </w:rPr>
    </w:lvl>
    <w:lvl w:ilvl="8" w:tplc="659C9DF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442969"/>
    <w:multiLevelType w:val="hybridMultilevel"/>
    <w:tmpl w:val="ADA40A76"/>
    <w:lvl w:ilvl="0" w:tplc="D5269444">
      <w:start w:val="1"/>
      <w:numFmt w:val="bullet"/>
      <w:lvlText w:val=""/>
      <w:lvlJc w:val="left"/>
      <w:pPr>
        <w:tabs>
          <w:tab w:val="num" w:pos="720"/>
        </w:tabs>
        <w:ind w:left="720" w:hanging="360"/>
      </w:pPr>
      <w:rPr>
        <w:rFonts w:ascii="Symbol" w:hAnsi="Symbol" w:hint="default"/>
      </w:rPr>
    </w:lvl>
    <w:lvl w:ilvl="1" w:tplc="64E8B652">
      <w:start w:val="114"/>
      <w:numFmt w:val="bullet"/>
      <w:lvlText w:val="o"/>
      <w:lvlJc w:val="left"/>
      <w:pPr>
        <w:tabs>
          <w:tab w:val="num" w:pos="1440"/>
        </w:tabs>
        <w:ind w:left="1440" w:hanging="360"/>
      </w:pPr>
      <w:rPr>
        <w:rFonts w:ascii="Courier New" w:hAnsi="Courier New" w:hint="default"/>
      </w:rPr>
    </w:lvl>
    <w:lvl w:ilvl="2" w:tplc="1E32DA4E" w:tentative="1">
      <w:start w:val="1"/>
      <w:numFmt w:val="bullet"/>
      <w:lvlText w:val=""/>
      <w:lvlJc w:val="left"/>
      <w:pPr>
        <w:tabs>
          <w:tab w:val="num" w:pos="2160"/>
        </w:tabs>
        <w:ind w:left="2160" w:hanging="360"/>
      </w:pPr>
      <w:rPr>
        <w:rFonts w:ascii="Symbol" w:hAnsi="Symbol" w:hint="default"/>
      </w:rPr>
    </w:lvl>
    <w:lvl w:ilvl="3" w:tplc="8D825D10" w:tentative="1">
      <w:start w:val="1"/>
      <w:numFmt w:val="bullet"/>
      <w:lvlText w:val=""/>
      <w:lvlJc w:val="left"/>
      <w:pPr>
        <w:tabs>
          <w:tab w:val="num" w:pos="2880"/>
        </w:tabs>
        <w:ind w:left="2880" w:hanging="360"/>
      </w:pPr>
      <w:rPr>
        <w:rFonts w:ascii="Symbol" w:hAnsi="Symbol" w:hint="default"/>
      </w:rPr>
    </w:lvl>
    <w:lvl w:ilvl="4" w:tplc="BAA4DF68" w:tentative="1">
      <w:start w:val="1"/>
      <w:numFmt w:val="bullet"/>
      <w:lvlText w:val=""/>
      <w:lvlJc w:val="left"/>
      <w:pPr>
        <w:tabs>
          <w:tab w:val="num" w:pos="3600"/>
        </w:tabs>
        <w:ind w:left="3600" w:hanging="360"/>
      </w:pPr>
      <w:rPr>
        <w:rFonts w:ascii="Symbol" w:hAnsi="Symbol" w:hint="default"/>
      </w:rPr>
    </w:lvl>
    <w:lvl w:ilvl="5" w:tplc="16122084" w:tentative="1">
      <w:start w:val="1"/>
      <w:numFmt w:val="bullet"/>
      <w:lvlText w:val=""/>
      <w:lvlJc w:val="left"/>
      <w:pPr>
        <w:tabs>
          <w:tab w:val="num" w:pos="4320"/>
        </w:tabs>
        <w:ind w:left="4320" w:hanging="360"/>
      </w:pPr>
      <w:rPr>
        <w:rFonts w:ascii="Symbol" w:hAnsi="Symbol" w:hint="default"/>
      </w:rPr>
    </w:lvl>
    <w:lvl w:ilvl="6" w:tplc="BE02E678" w:tentative="1">
      <w:start w:val="1"/>
      <w:numFmt w:val="bullet"/>
      <w:lvlText w:val=""/>
      <w:lvlJc w:val="left"/>
      <w:pPr>
        <w:tabs>
          <w:tab w:val="num" w:pos="5040"/>
        </w:tabs>
        <w:ind w:left="5040" w:hanging="360"/>
      </w:pPr>
      <w:rPr>
        <w:rFonts w:ascii="Symbol" w:hAnsi="Symbol" w:hint="default"/>
      </w:rPr>
    </w:lvl>
    <w:lvl w:ilvl="7" w:tplc="243A3A30" w:tentative="1">
      <w:start w:val="1"/>
      <w:numFmt w:val="bullet"/>
      <w:lvlText w:val=""/>
      <w:lvlJc w:val="left"/>
      <w:pPr>
        <w:tabs>
          <w:tab w:val="num" w:pos="5760"/>
        </w:tabs>
        <w:ind w:left="5760" w:hanging="360"/>
      </w:pPr>
      <w:rPr>
        <w:rFonts w:ascii="Symbol" w:hAnsi="Symbol" w:hint="default"/>
      </w:rPr>
    </w:lvl>
    <w:lvl w:ilvl="8" w:tplc="C360C25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370173F"/>
    <w:multiLevelType w:val="hybridMultilevel"/>
    <w:tmpl w:val="09147D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B839FC"/>
    <w:multiLevelType w:val="multilevel"/>
    <w:tmpl w:val="820C9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057EE9"/>
    <w:multiLevelType w:val="multilevel"/>
    <w:tmpl w:val="E708C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8116790"/>
    <w:multiLevelType w:val="hybridMultilevel"/>
    <w:tmpl w:val="838E5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9981C22"/>
    <w:multiLevelType w:val="hybridMultilevel"/>
    <w:tmpl w:val="764CD7E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52F12FDB"/>
    <w:multiLevelType w:val="hybridMultilevel"/>
    <w:tmpl w:val="40C893C0"/>
    <w:lvl w:ilvl="0" w:tplc="A448F838">
      <w:start w:val="1"/>
      <w:numFmt w:val="lowerRoman"/>
      <w:lvlText w:val="%1."/>
      <w:lvlJc w:val="left"/>
      <w:pPr>
        <w:ind w:left="720" w:hanging="360"/>
      </w:pPr>
    </w:lvl>
    <w:lvl w:ilvl="1" w:tplc="27B229C8">
      <w:start w:val="1"/>
      <w:numFmt w:val="lowerLetter"/>
      <w:lvlText w:val="%2."/>
      <w:lvlJc w:val="left"/>
      <w:pPr>
        <w:ind w:left="1440" w:hanging="360"/>
      </w:pPr>
    </w:lvl>
    <w:lvl w:ilvl="2" w:tplc="302EB554">
      <w:start w:val="1"/>
      <w:numFmt w:val="lowerRoman"/>
      <w:lvlText w:val="%3."/>
      <w:lvlJc w:val="right"/>
      <w:pPr>
        <w:ind w:left="2160" w:hanging="180"/>
      </w:pPr>
    </w:lvl>
    <w:lvl w:ilvl="3" w:tplc="E2CC5B6E">
      <w:start w:val="1"/>
      <w:numFmt w:val="decimal"/>
      <w:lvlText w:val="%4."/>
      <w:lvlJc w:val="left"/>
      <w:pPr>
        <w:ind w:left="2880" w:hanging="360"/>
      </w:pPr>
    </w:lvl>
    <w:lvl w:ilvl="4" w:tplc="F95E2538">
      <w:start w:val="1"/>
      <w:numFmt w:val="lowerLetter"/>
      <w:lvlText w:val="%5."/>
      <w:lvlJc w:val="left"/>
      <w:pPr>
        <w:ind w:left="3600" w:hanging="360"/>
      </w:pPr>
    </w:lvl>
    <w:lvl w:ilvl="5" w:tplc="610A1752">
      <w:start w:val="1"/>
      <w:numFmt w:val="lowerRoman"/>
      <w:lvlText w:val="%6."/>
      <w:lvlJc w:val="right"/>
      <w:pPr>
        <w:ind w:left="4320" w:hanging="180"/>
      </w:pPr>
    </w:lvl>
    <w:lvl w:ilvl="6" w:tplc="F0C2E4BA">
      <w:start w:val="1"/>
      <w:numFmt w:val="decimal"/>
      <w:lvlText w:val="%7."/>
      <w:lvlJc w:val="left"/>
      <w:pPr>
        <w:ind w:left="5040" w:hanging="360"/>
      </w:pPr>
    </w:lvl>
    <w:lvl w:ilvl="7" w:tplc="52B206B0">
      <w:start w:val="1"/>
      <w:numFmt w:val="lowerLetter"/>
      <w:lvlText w:val="%8."/>
      <w:lvlJc w:val="left"/>
      <w:pPr>
        <w:ind w:left="5760" w:hanging="360"/>
      </w:pPr>
    </w:lvl>
    <w:lvl w:ilvl="8" w:tplc="C6BEDE04">
      <w:start w:val="1"/>
      <w:numFmt w:val="lowerRoman"/>
      <w:lvlText w:val="%9."/>
      <w:lvlJc w:val="right"/>
      <w:pPr>
        <w:ind w:left="6480" w:hanging="180"/>
      </w:pPr>
    </w:lvl>
  </w:abstractNum>
  <w:abstractNum w:abstractNumId="3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B46667"/>
    <w:multiLevelType w:val="multilevel"/>
    <w:tmpl w:val="90C8E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5" w15:restartNumberingAfterBreak="0">
    <w:nsid w:val="6458409B"/>
    <w:multiLevelType w:val="hybridMultilevel"/>
    <w:tmpl w:val="5D666428"/>
    <w:lvl w:ilvl="0" w:tplc="DB32B946">
      <w:start w:val="1"/>
      <w:numFmt w:val="bullet"/>
      <w:lvlText w:val=""/>
      <w:lvlJc w:val="left"/>
      <w:pPr>
        <w:ind w:left="720" w:hanging="360"/>
      </w:pPr>
      <w:rPr>
        <w:rFonts w:ascii="Symbol" w:hAnsi="Symbol" w:hint="default"/>
      </w:rPr>
    </w:lvl>
    <w:lvl w:ilvl="1" w:tplc="365E4688">
      <w:start w:val="1"/>
      <w:numFmt w:val="bullet"/>
      <w:lvlText w:val="o"/>
      <w:lvlJc w:val="left"/>
      <w:pPr>
        <w:ind w:left="1440" w:hanging="360"/>
      </w:pPr>
      <w:rPr>
        <w:rFonts w:ascii="Courier New" w:hAnsi="Courier New" w:hint="default"/>
      </w:rPr>
    </w:lvl>
    <w:lvl w:ilvl="2" w:tplc="27B00EB2">
      <w:start w:val="1"/>
      <w:numFmt w:val="bullet"/>
      <w:lvlText w:val=""/>
      <w:lvlJc w:val="left"/>
      <w:pPr>
        <w:ind w:left="2160" w:hanging="360"/>
      </w:pPr>
      <w:rPr>
        <w:rFonts w:ascii="Wingdings" w:hAnsi="Wingdings" w:hint="default"/>
      </w:rPr>
    </w:lvl>
    <w:lvl w:ilvl="3" w:tplc="1668110C">
      <w:start w:val="1"/>
      <w:numFmt w:val="bullet"/>
      <w:lvlText w:val=""/>
      <w:lvlJc w:val="left"/>
      <w:pPr>
        <w:ind w:left="2880" w:hanging="360"/>
      </w:pPr>
      <w:rPr>
        <w:rFonts w:ascii="Symbol" w:hAnsi="Symbol" w:hint="default"/>
      </w:rPr>
    </w:lvl>
    <w:lvl w:ilvl="4" w:tplc="360A79FA">
      <w:start w:val="1"/>
      <w:numFmt w:val="bullet"/>
      <w:lvlText w:val="o"/>
      <w:lvlJc w:val="left"/>
      <w:pPr>
        <w:ind w:left="3600" w:hanging="360"/>
      </w:pPr>
      <w:rPr>
        <w:rFonts w:ascii="Courier New" w:hAnsi="Courier New" w:hint="default"/>
      </w:rPr>
    </w:lvl>
    <w:lvl w:ilvl="5" w:tplc="D8BA015A">
      <w:start w:val="1"/>
      <w:numFmt w:val="bullet"/>
      <w:lvlText w:val=""/>
      <w:lvlJc w:val="left"/>
      <w:pPr>
        <w:ind w:left="4320" w:hanging="360"/>
      </w:pPr>
      <w:rPr>
        <w:rFonts w:ascii="Wingdings" w:hAnsi="Wingdings" w:hint="default"/>
      </w:rPr>
    </w:lvl>
    <w:lvl w:ilvl="6" w:tplc="1B92F27A">
      <w:start w:val="1"/>
      <w:numFmt w:val="bullet"/>
      <w:lvlText w:val=""/>
      <w:lvlJc w:val="left"/>
      <w:pPr>
        <w:ind w:left="5040" w:hanging="360"/>
      </w:pPr>
      <w:rPr>
        <w:rFonts w:ascii="Symbol" w:hAnsi="Symbol" w:hint="default"/>
      </w:rPr>
    </w:lvl>
    <w:lvl w:ilvl="7" w:tplc="EF76233E">
      <w:start w:val="1"/>
      <w:numFmt w:val="bullet"/>
      <w:lvlText w:val="o"/>
      <w:lvlJc w:val="left"/>
      <w:pPr>
        <w:ind w:left="5760" w:hanging="360"/>
      </w:pPr>
      <w:rPr>
        <w:rFonts w:ascii="Courier New" w:hAnsi="Courier New" w:hint="default"/>
      </w:rPr>
    </w:lvl>
    <w:lvl w:ilvl="8" w:tplc="7F3ED272">
      <w:start w:val="1"/>
      <w:numFmt w:val="bullet"/>
      <w:lvlText w:val=""/>
      <w:lvlJc w:val="left"/>
      <w:pPr>
        <w:ind w:left="6480" w:hanging="360"/>
      </w:pPr>
      <w:rPr>
        <w:rFonts w:ascii="Wingdings" w:hAnsi="Wingdings" w:hint="default"/>
      </w:rPr>
    </w:lvl>
  </w:abstractNum>
  <w:abstractNum w:abstractNumId="36" w15:restartNumberingAfterBreak="0">
    <w:nsid w:val="6BFE4007"/>
    <w:multiLevelType w:val="hybridMultilevel"/>
    <w:tmpl w:val="4734F2BC"/>
    <w:lvl w:ilvl="0" w:tplc="6768931C">
      <w:numFmt w:val="bullet"/>
      <w:lvlText w:val="-"/>
      <w:lvlJc w:val="left"/>
      <w:pPr>
        <w:ind w:left="720" w:hanging="360"/>
      </w:pPr>
      <w:rPr>
        <w:rFonts w:ascii="Times" w:eastAsia="Times New Roman" w:hAnsi="Times" w:cs="Time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C172E2"/>
    <w:multiLevelType w:val="hybridMultilevel"/>
    <w:tmpl w:val="0D0CF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0378C2"/>
    <w:multiLevelType w:val="hybridMultilevel"/>
    <w:tmpl w:val="F1E43B24"/>
    <w:lvl w:ilvl="0" w:tplc="97A8924E">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5D6BA4"/>
    <w:multiLevelType w:val="hybridMultilevel"/>
    <w:tmpl w:val="A3DE20C0"/>
    <w:lvl w:ilvl="0" w:tplc="CACC92F2">
      <w:start w:val="1"/>
      <w:numFmt w:val="bullet"/>
      <w:lvlText w:val="o"/>
      <w:lvlJc w:val="left"/>
      <w:pPr>
        <w:tabs>
          <w:tab w:val="num" w:pos="720"/>
        </w:tabs>
        <w:ind w:left="720" w:hanging="360"/>
      </w:pPr>
      <w:rPr>
        <w:rFonts w:ascii="Courier New" w:hAnsi="Courier New" w:hint="default"/>
      </w:rPr>
    </w:lvl>
    <w:lvl w:ilvl="1" w:tplc="DA6288FC">
      <w:start w:val="1"/>
      <w:numFmt w:val="bullet"/>
      <w:lvlText w:val="o"/>
      <w:lvlJc w:val="left"/>
      <w:pPr>
        <w:tabs>
          <w:tab w:val="num" w:pos="1440"/>
        </w:tabs>
        <w:ind w:left="1440" w:hanging="360"/>
      </w:pPr>
      <w:rPr>
        <w:rFonts w:ascii="Courier New" w:hAnsi="Courier New" w:hint="default"/>
      </w:rPr>
    </w:lvl>
    <w:lvl w:ilvl="2" w:tplc="C63CA1E0" w:tentative="1">
      <w:start w:val="1"/>
      <w:numFmt w:val="bullet"/>
      <w:lvlText w:val="o"/>
      <w:lvlJc w:val="left"/>
      <w:pPr>
        <w:tabs>
          <w:tab w:val="num" w:pos="2160"/>
        </w:tabs>
        <w:ind w:left="2160" w:hanging="360"/>
      </w:pPr>
      <w:rPr>
        <w:rFonts w:ascii="Courier New" w:hAnsi="Courier New" w:hint="default"/>
      </w:rPr>
    </w:lvl>
    <w:lvl w:ilvl="3" w:tplc="A7C25190" w:tentative="1">
      <w:start w:val="1"/>
      <w:numFmt w:val="bullet"/>
      <w:lvlText w:val="o"/>
      <w:lvlJc w:val="left"/>
      <w:pPr>
        <w:tabs>
          <w:tab w:val="num" w:pos="2880"/>
        </w:tabs>
        <w:ind w:left="2880" w:hanging="360"/>
      </w:pPr>
      <w:rPr>
        <w:rFonts w:ascii="Courier New" w:hAnsi="Courier New" w:hint="default"/>
      </w:rPr>
    </w:lvl>
    <w:lvl w:ilvl="4" w:tplc="87F8C768" w:tentative="1">
      <w:start w:val="1"/>
      <w:numFmt w:val="bullet"/>
      <w:lvlText w:val="o"/>
      <w:lvlJc w:val="left"/>
      <w:pPr>
        <w:tabs>
          <w:tab w:val="num" w:pos="3600"/>
        </w:tabs>
        <w:ind w:left="3600" w:hanging="360"/>
      </w:pPr>
      <w:rPr>
        <w:rFonts w:ascii="Courier New" w:hAnsi="Courier New" w:hint="default"/>
      </w:rPr>
    </w:lvl>
    <w:lvl w:ilvl="5" w:tplc="677EBC8A" w:tentative="1">
      <w:start w:val="1"/>
      <w:numFmt w:val="bullet"/>
      <w:lvlText w:val="o"/>
      <w:lvlJc w:val="left"/>
      <w:pPr>
        <w:tabs>
          <w:tab w:val="num" w:pos="4320"/>
        </w:tabs>
        <w:ind w:left="4320" w:hanging="360"/>
      </w:pPr>
      <w:rPr>
        <w:rFonts w:ascii="Courier New" w:hAnsi="Courier New" w:hint="default"/>
      </w:rPr>
    </w:lvl>
    <w:lvl w:ilvl="6" w:tplc="A2FE7398" w:tentative="1">
      <w:start w:val="1"/>
      <w:numFmt w:val="bullet"/>
      <w:lvlText w:val="o"/>
      <w:lvlJc w:val="left"/>
      <w:pPr>
        <w:tabs>
          <w:tab w:val="num" w:pos="5040"/>
        </w:tabs>
        <w:ind w:left="5040" w:hanging="360"/>
      </w:pPr>
      <w:rPr>
        <w:rFonts w:ascii="Courier New" w:hAnsi="Courier New" w:hint="default"/>
      </w:rPr>
    </w:lvl>
    <w:lvl w:ilvl="7" w:tplc="2B8CEBD8" w:tentative="1">
      <w:start w:val="1"/>
      <w:numFmt w:val="bullet"/>
      <w:lvlText w:val="o"/>
      <w:lvlJc w:val="left"/>
      <w:pPr>
        <w:tabs>
          <w:tab w:val="num" w:pos="5760"/>
        </w:tabs>
        <w:ind w:left="5760" w:hanging="360"/>
      </w:pPr>
      <w:rPr>
        <w:rFonts w:ascii="Courier New" w:hAnsi="Courier New" w:hint="default"/>
      </w:rPr>
    </w:lvl>
    <w:lvl w:ilvl="8" w:tplc="860C1936"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75202C22"/>
    <w:multiLevelType w:val="hybridMultilevel"/>
    <w:tmpl w:val="C48A6F06"/>
    <w:lvl w:ilvl="0" w:tplc="A8C62C34">
      <w:start w:val="1"/>
      <w:numFmt w:val="bullet"/>
      <w:lvlText w:val=""/>
      <w:lvlJc w:val="left"/>
      <w:pPr>
        <w:ind w:left="720" w:hanging="360"/>
      </w:pPr>
      <w:rPr>
        <w:rFonts w:ascii="Symbol" w:hAnsi="Symbol" w:hint="default"/>
      </w:rPr>
    </w:lvl>
    <w:lvl w:ilvl="1" w:tplc="12128C36">
      <w:start w:val="1"/>
      <w:numFmt w:val="bullet"/>
      <w:lvlText w:val="o"/>
      <w:lvlJc w:val="left"/>
      <w:pPr>
        <w:ind w:left="1440" w:hanging="360"/>
      </w:pPr>
      <w:rPr>
        <w:rFonts w:ascii="Courier New" w:hAnsi="Courier New" w:hint="default"/>
      </w:rPr>
    </w:lvl>
    <w:lvl w:ilvl="2" w:tplc="6742DEE4">
      <w:start w:val="1"/>
      <w:numFmt w:val="bullet"/>
      <w:lvlText w:val=""/>
      <w:lvlJc w:val="left"/>
      <w:pPr>
        <w:ind w:left="2160" w:hanging="360"/>
      </w:pPr>
      <w:rPr>
        <w:rFonts w:ascii="Wingdings" w:hAnsi="Wingdings" w:hint="default"/>
      </w:rPr>
    </w:lvl>
    <w:lvl w:ilvl="3" w:tplc="61402A1A">
      <w:start w:val="1"/>
      <w:numFmt w:val="bullet"/>
      <w:lvlText w:val=""/>
      <w:lvlJc w:val="left"/>
      <w:pPr>
        <w:ind w:left="2880" w:hanging="360"/>
      </w:pPr>
      <w:rPr>
        <w:rFonts w:ascii="Symbol" w:hAnsi="Symbol" w:hint="default"/>
      </w:rPr>
    </w:lvl>
    <w:lvl w:ilvl="4" w:tplc="90B64096">
      <w:start w:val="1"/>
      <w:numFmt w:val="bullet"/>
      <w:lvlText w:val="o"/>
      <w:lvlJc w:val="left"/>
      <w:pPr>
        <w:ind w:left="3600" w:hanging="360"/>
      </w:pPr>
      <w:rPr>
        <w:rFonts w:ascii="Courier New" w:hAnsi="Courier New" w:hint="default"/>
      </w:rPr>
    </w:lvl>
    <w:lvl w:ilvl="5" w:tplc="1CD8CD64">
      <w:start w:val="1"/>
      <w:numFmt w:val="bullet"/>
      <w:lvlText w:val=""/>
      <w:lvlJc w:val="left"/>
      <w:pPr>
        <w:ind w:left="4320" w:hanging="360"/>
      </w:pPr>
      <w:rPr>
        <w:rFonts w:ascii="Wingdings" w:hAnsi="Wingdings" w:hint="default"/>
      </w:rPr>
    </w:lvl>
    <w:lvl w:ilvl="6" w:tplc="04929E42">
      <w:start w:val="1"/>
      <w:numFmt w:val="bullet"/>
      <w:lvlText w:val=""/>
      <w:lvlJc w:val="left"/>
      <w:pPr>
        <w:ind w:left="5040" w:hanging="360"/>
      </w:pPr>
      <w:rPr>
        <w:rFonts w:ascii="Symbol" w:hAnsi="Symbol" w:hint="default"/>
      </w:rPr>
    </w:lvl>
    <w:lvl w:ilvl="7" w:tplc="DC380EF6">
      <w:start w:val="1"/>
      <w:numFmt w:val="bullet"/>
      <w:lvlText w:val="o"/>
      <w:lvlJc w:val="left"/>
      <w:pPr>
        <w:ind w:left="5760" w:hanging="360"/>
      </w:pPr>
      <w:rPr>
        <w:rFonts w:ascii="Courier New" w:hAnsi="Courier New" w:hint="default"/>
      </w:rPr>
    </w:lvl>
    <w:lvl w:ilvl="8" w:tplc="58E0EFCA">
      <w:start w:val="1"/>
      <w:numFmt w:val="bullet"/>
      <w:lvlText w:val=""/>
      <w:lvlJc w:val="left"/>
      <w:pPr>
        <w:ind w:left="6480" w:hanging="360"/>
      </w:pPr>
      <w:rPr>
        <w:rFonts w:ascii="Wingdings" w:hAnsi="Wingdings" w:hint="default"/>
      </w:rPr>
    </w:lvl>
  </w:abstractNum>
  <w:abstractNum w:abstractNumId="42" w15:restartNumberingAfterBreak="0">
    <w:nsid w:val="755A4611"/>
    <w:multiLevelType w:val="hybridMultilevel"/>
    <w:tmpl w:val="696CEFEA"/>
    <w:lvl w:ilvl="0" w:tplc="A49EAF92">
      <w:start w:val="1"/>
      <w:numFmt w:val="decimal"/>
      <w:lvlText w:val="%1."/>
      <w:lvlJc w:val="left"/>
      <w:pPr>
        <w:ind w:left="720" w:hanging="360"/>
      </w:pPr>
    </w:lvl>
    <w:lvl w:ilvl="1" w:tplc="F18AFA6A">
      <w:start w:val="1"/>
      <w:numFmt w:val="lowerLetter"/>
      <w:lvlText w:val="%2."/>
      <w:lvlJc w:val="left"/>
      <w:pPr>
        <w:ind w:left="1440" w:hanging="360"/>
      </w:pPr>
    </w:lvl>
    <w:lvl w:ilvl="2" w:tplc="6008A696">
      <w:start w:val="1"/>
      <w:numFmt w:val="lowerRoman"/>
      <w:lvlText w:val="%3."/>
      <w:lvlJc w:val="right"/>
      <w:pPr>
        <w:ind w:left="2160" w:hanging="180"/>
      </w:pPr>
    </w:lvl>
    <w:lvl w:ilvl="3" w:tplc="6234B9B0">
      <w:start w:val="1"/>
      <w:numFmt w:val="decimal"/>
      <w:lvlText w:val="%4."/>
      <w:lvlJc w:val="left"/>
      <w:pPr>
        <w:ind w:left="2880" w:hanging="360"/>
      </w:pPr>
    </w:lvl>
    <w:lvl w:ilvl="4" w:tplc="1FF6A47A">
      <w:start w:val="1"/>
      <w:numFmt w:val="lowerLetter"/>
      <w:lvlText w:val="%5."/>
      <w:lvlJc w:val="left"/>
      <w:pPr>
        <w:ind w:left="3600" w:hanging="360"/>
      </w:pPr>
    </w:lvl>
    <w:lvl w:ilvl="5" w:tplc="455A0924">
      <w:start w:val="1"/>
      <w:numFmt w:val="lowerRoman"/>
      <w:lvlText w:val="%6."/>
      <w:lvlJc w:val="right"/>
      <w:pPr>
        <w:ind w:left="4320" w:hanging="180"/>
      </w:pPr>
    </w:lvl>
    <w:lvl w:ilvl="6" w:tplc="FFF86044">
      <w:start w:val="1"/>
      <w:numFmt w:val="decimal"/>
      <w:lvlText w:val="%7."/>
      <w:lvlJc w:val="left"/>
      <w:pPr>
        <w:ind w:left="5040" w:hanging="360"/>
      </w:pPr>
    </w:lvl>
    <w:lvl w:ilvl="7" w:tplc="AC00295A">
      <w:start w:val="1"/>
      <w:numFmt w:val="lowerLetter"/>
      <w:lvlText w:val="%8."/>
      <w:lvlJc w:val="left"/>
      <w:pPr>
        <w:ind w:left="5760" w:hanging="360"/>
      </w:pPr>
    </w:lvl>
    <w:lvl w:ilvl="8" w:tplc="C6D0A31A">
      <w:start w:val="1"/>
      <w:numFmt w:val="lowerRoman"/>
      <w:lvlText w:val="%9."/>
      <w:lvlJc w:val="right"/>
      <w:pPr>
        <w:ind w:left="6480" w:hanging="180"/>
      </w:pPr>
    </w:lvl>
  </w:abstractNum>
  <w:abstractNum w:abstractNumId="43" w15:restartNumberingAfterBreak="0">
    <w:nsid w:val="769C0F51"/>
    <w:multiLevelType w:val="hybridMultilevel"/>
    <w:tmpl w:val="A30A3EDA"/>
    <w:lvl w:ilvl="0" w:tplc="36D03820">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35"/>
  </w:num>
  <w:num w:numId="3">
    <w:abstractNumId w:val="42"/>
  </w:num>
  <w:num w:numId="4">
    <w:abstractNumId w:val="41"/>
  </w:num>
  <w:num w:numId="5">
    <w:abstractNumId w:val="10"/>
  </w:num>
  <w:num w:numId="6">
    <w:abstractNumId w:val="32"/>
  </w:num>
  <w:num w:numId="7">
    <w:abstractNumId w:val="0"/>
  </w:num>
  <w:num w:numId="8">
    <w:abstractNumId w:val="3"/>
  </w:num>
  <w:num w:numId="9">
    <w:abstractNumId w:val="20"/>
  </w:num>
  <w:num w:numId="10">
    <w:abstractNumId w:val="34"/>
  </w:num>
  <w:num w:numId="11">
    <w:abstractNumId w:val="22"/>
  </w:num>
  <w:num w:numId="12">
    <w:abstractNumId w:val="19"/>
  </w:num>
  <w:num w:numId="13">
    <w:abstractNumId w:val="44"/>
  </w:num>
  <w:num w:numId="14">
    <w:abstractNumId w:val="7"/>
  </w:num>
  <w:num w:numId="15">
    <w:abstractNumId w:val="24"/>
  </w:num>
  <w:num w:numId="16">
    <w:abstractNumId w:val="6"/>
  </w:num>
  <w:num w:numId="17">
    <w:abstractNumId w:val="14"/>
  </w:num>
  <w:num w:numId="18">
    <w:abstractNumId w:val="30"/>
  </w:num>
  <w:num w:numId="19">
    <w:abstractNumId w:val="13"/>
  </w:num>
  <w:num w:numId="20">
    <w:abstractNumId w:val="43"/>
  </w:num>
  <w:num w:numId="21">
    <w:abstractNumId w:val="23"/>
  </w:num>
  <w:num w:numId="22">
    <w:abstractNumId w:val="8"/>
  </w:num>
  <w:num w:numId="23">
    <w:abstractNumId w:val="1"/>
  </w:num>
  <w:num w:numId="24">
    <w:abstractNumId w:val="14"/>
  </w:num>
  <w:num w:numId="25">
    <w:abstractNumId w:val="16"/>
  </w:num>
  <w:num w:numId="26">
    <w:abstractNumId w:val="17"/>
  </w:num>
  <w:num w:numId="27">
    <w:abstractNumId w:val="18"/>
  </w:num>
  <w:num w:numId="28">
    <w:abstractNumId w:val="9"/>
  </w:num>
  <w:num w:numId="29">
    <w:abstractNumId w:val="14"/>
  </w:num>
  <w:num w:numId="30">
    <w:abstractNumId w:val="14"/>
  </w:num>
  <w:num w:numId="31">
    <w:abstractNumId w:val="14"/>
  </w:num>
  <w:num w:numId="32">
    <w:abstractNumId w:val="14"/>
  </w:num>
  <w:num w:numId="33">
    <w:abstractNumId w:val="14"/>
  </w:num>
  <w:num w:numId="34">
    <w:abstractNumId w:val="27"/>
  </w:num>
  <w:num w:numId="35">
    <w:abstractNumId w:val="37"/>
  </w:num>
  <w:num w:numId="36">
    <w:abstractNumId w:val="5"/>
  </w:num>
  <w:num w:numId="37">
    <w:abstractNumId w:val="26"/>
  </w:num>
  <w:num w:numId="38">
    <w:abstractNumId w:val="28"/>
  </w:num>
  <w:num w:numId="39">
    <w:abstractNumId w:val="39"/>
  </w:num>
  <w:num w:numId="40">
    <w:abstractNumId w:val="33"/>
  </w:num>
  <w:num w:numId="41">
    <w:abstractNumId w:val="25"/>
  </w:num>
  <w:num w:numId="42">
    <w:abstractNumId w:val="2"/>
  </w:num>
  <w:num w:numId="43">
    <w:abstractNumId w:val="21"/>
  </w:num>
  <w:num w:numId="44">
    <w:abstractNumId w:val="4"/>
  </w:num>
  <w:num w:numId="45">
    <w:abstractNumId w:val="36"/>
  </w:num>
  <w:num w:numId="46">
    <w:abstractNumId w:val="11"/>
  </w:num>
  <w:num w:numId="47">
    <w:abstractNumId w:val="12"/>
  </w:num>
  <w:num w:numId="48">
    <w:abstractNumId w:val="38"/>
  </w:num>
  <w:num w:numId="49">
    <w:abstractNumId w:val="29"/>
  </w:num>
  <w:num w:numId="50">
    <w:abstractNumId w:val="40"/>
  </w:num>
  <w:num w:numId="51">
    <w:abstractNumId w:val="1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3BDB"/>
    <w:rsid w:val="00023F1C"/>
    <w:rsid w:val="00024AEF"/>
    <w:rsid w:val="0002674E"/>
    <w:rsid w:val="00026C65"/>
    <w:rsid w:val="00027755"/>
    <w:rsid w:val="00027864"/>
    <w:rsid w:val="0002789E"/>
    <w:rsid w:val="00030048"/>
    <w:rsid w:val="0003072D"/>
    <w:rsid w:val="000314CD"/>
    <w:rsid w:val="0003332B"/>
    <w:rsid w:val="00033544"/>
    <w:rsid w:val="0003479E"/>
    <w:rsid w:val="00034978"/>
    <w:rsid w:val="00035691"/>
    <w:rsid w:val="0003767C"/>
    <w:rsid w:val="00040F4F"/>
    <w:rsid w:val="0004132D"/>
    <w:rsid w:val="00041C9D"/>
    <w:rsid w:val="00041D60"/>
    <w:rsid w:val="00042686"/>
    <w:rsid w:val="00044CFA"/>
    <w:rsid w:val="000459C7"/>
    <w:rsid w:val="00046630"/>
    <w:rsid w:val="00046C80"/>
    <w:rsid w:val="00050112"/>
    <w:rsid w:val="00050276"/>
    <w:rsid w:val="00050466"/>
    <w:rsid w:val="000505CC"/>
    <w:rsid w:val="0005101F"/>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9FD"/>
    <w:rsid w:val="00065E94"/>
    <w:rsid w:val="000701AD"/>
    <w:rsid w:val="000702E4"/>
    <w:rsid w:val="000707CA"/>
    <w:rsid w:val="00070D21"/>
    <w:rsid w:val="000714DF"/>
    <w:rsid w:val="000717FB"/>
    <w:rsid w:val="000719BF"/>
    <w:rsid w:val="0007208A"/>
    <w:rsid w:val="0007213C"/>
    <w:rsid w:val="0007251C"/>
    <w:rsid w:val="00072BBA"/>
    <w:rsid w:val="00072FF5"/>
    <w:rsid w:val="000730DC"/>
    <w:rsid w:val="00075965"/>
    <w:rsid w:val="00075FDA"/>
    <w:rsid w:val="00076386"/>
    <w:rsid w:val="00076D82"/>
    <w:rsid w:val="00080EB6"/>
    <w:rsid w:val="00081EC2"/>
    <w:rsid w:val="00082154"/>
    <w:rsid w:val="00083800"/>
    <w:rsid w:val="00083EF6"/>
    <w:rsid w:val="00084A65"/>
    <w:rsid w:val="0008559A"/>
    <w:rsid w:val="00085E56"/>
    <w:rsid w:val="000902C2"/>
    <w:rsid w:val="0009067E"/>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888"/>
    <w:rsid w:val="000B1C5E"/>
    <w:rsid w:val="000B2282"/>
    <w:rsid w:val="000B27E9"/>
    <w:rsid w:val="000B2A11"/>
    <w:rsid w:val="000B2A5B"/>
    <w:rsid w:val="000B3B91"/>
    <w:rsid w:val="000B4207"/>
    <w:rsid w:val="000B4B1B"/>
    <w:rsid w:val="000B50C3"/>
    <w:rsid w:val="000B5AC9"/>
    <w:rsid w:val="000B5F0A"/>
    <w:rsid w:val="000B6D65"/>
    <w:rsid w:val="000B7519"/>
    <w:rsid w:val="000C1D59"/>
    <w:rsid w:val="000C2B09"/>
    <w:rsid w:val="000C30CF"/>
    <w:rsid w:val="000C501D"/>
    <w:rsid w:val="000C5CBA"/>
    <w:rsid w:val="000C74BA"/>
    <w:rsid w:val="000C7531"/>
    <w:rsid w:val="000C7BA7"/>
    <w:rsid w:val="000C7C3F"/>
    <w:rsid w:val="000D0BD6"/>
    <w:rsid w:val="000D0C61"/>
    <w:rsid w:val="000D1440"/>
    <w:rsid w:val="000D27AD"/>
    <w:rsid w:val="000D28CF"/>
    <w:rsid w:val="000D29D1"/>
    <w:rsid w:val="000D2B0A"/>
    <w:rsid w:val="000D3286"/>
    <w:rsid w:val="000D344D"/>
    <w:rsid w:val="000D40E7"/>
    <w:rsid w:val="000D584F"/>
    <w:rsid w:val="000D76BC"/>
    <w:rsid w:val="000D7750"/>
    <w:rsid w:val="000E059D"/>
    <w:rsid w:val="000E071E"/>
    <w:rsid w:val="000E0DEE"/>
    <w:rsid w:val="000E181D"/>
    <w:rsid w:val="000E27AA"/>
    <w:rsid w:val="000E337A"/>
    <w:rsid w:val="000E34FD"/>
    <w:rsid w:val="000E4350"/>
    <w:rsid w:val="000E4376"/>
    <w:rsid w:val="000E4408"/>
    <w:rsid w:val="000E53AB"/>
    <w:rsid w:val="000E5716"/>
    <w:rsid w:val="000E7941"/>
    <w:rsid w:val="000E7A79"/>
    <w:rsid w:val="000F15B2"/>
    <w:rsid w:val="000F19DE"/>
    <w:rsid w:val="000F2E1F"/>
    <w:rsid w:val="000F37B0"/>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3E15"/>
    <w:rsid w:val="00106279"/>
    <w:rsid w:val="001068D2"/>
    <w:rsid w:val="00106932"/>
    <w:rsid w:val="001069F2"/>
    <w:rsid w:val="001103BD"/>
    <w:rsid w:val="001107F0"/>
    <w:rsid w:val="00111208"/>
    <w:rsid w:val="001115E4"/>
    <w:rsid w:val="00111808"/>
    <w:rsid w:val="001121A9"/>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67B1"/>
    <w:rsid w:val="00150175"/>
    <w:rsid w:val="001502C8"/>
    <w:rsid w:val="001509A3"/>
    <w:rsid w:val="00151011"/>
    <w:rsid w:val="00151224"/>
    <w:rsid w:val="0015130F"/>
    <w:rsid w:val="00151499"/>
    <w:rsid w:val="001532BA"/>
    <w:rsid w:val="00153FED"/>
    <w:rsid w:val="00154F42"/>
    <w:rsid w:val="00155953"/>
    <w:rsid w:val="00155BFD"/>
    <w:rsid w:val="00156ABA"/>
    <w:rsid w:val="00157390"/>
    <w:rsid w:val="001602A3"/>
    <w:rsid w:val="00160998"/>
    <w:rsid w:val="00160CD6"/>
    <w:rsid w:val="00160F5F"/>
    <w:rsid w:val="00162308"/>
    <w:rsid w:val="0016316A"/>
    <w:rsid w:val="001637C9"/>
    <w:rsid w:val="0016381F"/>
    <w:rsid w:val="00163D1D"/>
    <w:rsid w:val="00164171"/>
    <w:rsid w:val="00164E58"/>
    <w:rsid w:val="00165033"/>
    <w:rsid w:val="001665EB"/>
    <w:rsid w:val="001670EA"/>
    <w:rsid w:val="001674A0"/>
    <w:rsid w:val="001707EC"/>
    <w:rsid w:val="00170A50"/>
    <w:rsid w:val="00174FFD"/>
    <w:rsid w:val="001759CA"/>
    <w:rsid w:val="0017726A"/>
    <w:rsid w:val="00177D89"/>
    <w:rsid w:val="00177DD3"/>
    <w:rsid w:val="00180278"/>
    <w:rsid w:val="001807F2"/>
    <w:rsid w:val="0018161B"/>
    <w:rsid w:val="001818A7"/>
    <w:rsid w:val="00182725"/>
    <w:rsid w:val="001829C8"/>
    <w:rsid w:val="00185152"/>
    <w:rsid w:val="00185BBC"/>
    <w:rsid w:val="00186904"/>
    <w:rsid w:val="00186B0A"/>
    <w:rsid w:val="001905BD"/>
    <w:rsid w:val="00192FE6"/>
    <w:rsid w:val="0019360B"/>
    <w:rsid w:val="00193986"/>
    <w:rsid w:val="00193B08"/>
    <w:rsid w:val="00194570"/>
    <w:rsid w:val="00196BF4"/>
    <w:rsid w:val="001972DA"/>
    <w:rsid w:val="001976AA"/>
    <w:rsid w:val="001A02F6"/>
    <w:rsid w:val="001A0606"/>
    <w:rsid w:val="001A15C6"/>
    <w:rsid w:val="001A16B5"/>
    <w:rsid w:val="001A5510"/>
    <w:rsid w:val="001A5C7B"/>
    <w:rsid w:val="001A5E19"/>
    <w:rsid w:val="001A63D8"/>
    <w:rsid w:val="001A70A7"/>
    <w:rsid w:val="001B01FA"/>
    <w:rsid w:val="001B0832"/>
    <w:rsid w:val="001B18A7"/>
    <w:rsid w:val="001B2762"/>
    <w:rsid w:val="001B35E3"/>
    <w:rsid w:val="001B36FC"/>
    <w:rsid w:val="001B41ED"/>
    <w:rsid w:val="001B4607"/>
    <w:rsid w:val="001B5A59"/>
    <w:rsid w:val="001B7E0C"/>
    <w:rsid w:val="001C0674"/>
    <w:rsid w:val="001C1405"/>
    <w:rsid w:val="001C1B93"/>
    <w:rsid w:val="001C226F"/>
    <w:rsid w:val="001C5296"/>
    <w:rsid w:val="001C66AC"/>
    <w:rsid w:val="001C6754"/>
    <w:rsid w:val="001C77F0"/>
    <w:rsid w:val="001D30C9"/>
    <w:rsid w:val="001D445B"/>
    <w:rsid w:val="001D46A0"/>
    <w:rsid w:val="001D4E24"/>
    <w:rsid w:val="001D50C2"/>
    <w:rsid w:val="001D5937"/>
    <w:rsid w:val="001D753C"/>
    <w:rsid w:val="001D7CA4"/>
    <w:rsid w:val="001D7DC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4E23"/>
    <w:rsid w:val="001F5019"/>
    <w:rsid w:val="001F51C5"/>
    <w:rsid w:val="001F65B0"/>
    <w:rsid w:val="001F67AA"/>
    <w:rsid w:val="001F6A62"/>
    <w:rsid w:val="001F6AFD"/>
    <w:rsid w:val="001F738D"/>
    <w:rsid w:val="001F7599"/>
    <w:rsid w:val="00204A2A"/>
    <w:rsid w:val="00204B22"/>
    <w:rsid w:val="00204B3A"/>
    <w:rsid w:val="0020535A"/>
    <w:rsid w:val="002055CB"/>
    <w:rsid w:val="002059EF"/>
    <w:rsid w:val="00205BDB"/>
    <w:rsid w:val="002064BB"/>
    <w:rsid w:val="00206955"/>
    <w:rsid w:val="00206A79"/>
    <w:rsid w:val="0020A800"/>
    <w:rsid w:val="00210309"/>
    <w:rsid w:val="00211519"/>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A2C"/>
    <w:rsid w:val="00225217"/>
    <w:rsid w:val="002256D9"/>
    <w:rsid w:val="00226577"/>
    <w:rsid w:val="0022687C"/>
    <w:rsid w:val="00227445"/>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1E72"/>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95C"/>
    <w:rsid w:val="00260AEE"/>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70B1A"/>
    <w:rsid w:val="00271589"/>
    <w:rsid w:val="00273177"/>
    <w:rsid w:val="0027455B"/>
    <w:rsid w:val="00275074"/>
    <w:rsid w:val="002763E9"/>
    <w:rsid w:val="00276736"/>
    <w:rsid w:val="00276F4E"/>
    <w:rsid w:val="0027773D"/>
    <w:rsid w:val="00280B72"/>
    <w:rsid w:val="002815FA"/>
    <w:rsid w:val="002824C2"/>
    <w:rsid w:val="00284E32"/>
    <w:rsid w:val="002851EB"/>
    <w:rsid w:val="00285510"/>
    <w:rsid w:val="00285BD1"/>
    <w:rsid w:val="00285DE2"/>
    <w:rsid w:val="0028616D"/>
    <w:rsid w:val="00286965"/>
    <w:rsid w:val="0029136E"/>
    <w:rsid w:val="00291F2B"/>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7FA"/>
    <w:rsid w:val="002B2813"/>
    <w:rsid w:val="002B2D29"/>
    <w:rsid w:val="002B3B31"/>
    <w:rsid w:val="002B3BBD"/>
    <w:rsid w:val="002B4FA7"/>
    <w:rsid w:val="002C00AC"/>
    <w:rsid w:val="002C0C4B"/>
    <w:rsid w:val="002C1EEA"/>
    <w:rsid w:val="002C47AD"/>
    <w:rsid w:val="002C5510"/>
    <w:rsid w:val="002C6034"/>
    <w:rsid w:val="002C635B"/>
    <w:rsid w:val="002C7276"/>
    <w:rsid w:val="002C770F"/>
    <w:rsid w:val="002C7CFF"/>
    <w:rsid w:val="002D0BC6"/>
    <w:rsid w:val="002D12DB"/>
    <w:rsid w:val="002D17C5"/>
    <w:rsid w:val="002D277F"/>
    <w:rsid w:val="002D365F"/>
    <w:rsid w:val="002D4CA2"/>
    <w:rsid w:val="002D51DF"/>
    <w:rsid w:val="002D6892"/>
    <w:rsid w:val="002D68C2"/>
    <w:rsid w:val="002D7C86"/>
    <w:rsid w:val="002E0692"/>
    <w:rsid w:val="002E1D74"/>
    <w:rsid w:val="002E2943"/>
    <w:rsid w:val="002E2CF1"/>
    <w:rsid w:val="002E3259"/>
    <w:rsid w:val="002E34AF"/>
    <w:rsid w:val="002E4AAC"/>
    <w:rsid w:val="002E53DE"/>
    <w:rsid w:val="002E563B"/>
    <w:rsid w:val="002E62D2"/>
    <w:rsid w:val="002E734F"/>
    <w:rsid w:val="002E74AF"/>
    <w:rsid w:val="002E758C"/>
    <w:rsid w:val="002F1038"/>
    <w:rsid w:val="002F22FF"/>
    <w:rsid w:val="002F2D8F"/>
    <w:rsid w:val="002F5BE4"/>
    <w:rsid w:val="002F613F"/>
    <w:rsid w:val="002F695B"/>
    <w:rsid w:val="002F72DA"/>
    <w:rsid w:val="002F76B1"/>
    <w:rsid w:val="002F7D66"/>
    <w:rsid w:val="002F7DBE"/>
    <w:rsid w:val="002FD911"/>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27C"/>
    <w:rsid w:val="003224AA"/>
    <w:rsid w:val="003224E7"/>
    <w:rsid w:val="00324119"/>
    <w:rsid w:val="00325D7A"/>
    <w:rsid w:val="00326145"/>
    <w:rsid w:val="00327163"/>
    <w:rsid w:val="00327305"/>
    <w:rsid w:val="00327531"/>
    <w:rsid w:val="00330187"/>
    <w:rsid w:val="00331C77"/>
    <w:rsid w:val="00331DB6"/>
    <w:rsid w:val="00331F96"/>
    <w:rsid w:val="00332B55"/>
    <w:rsid w:val="003336B9"/>
    <w:rsid w:val="00334095"/>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57D01"/>
    <w:rsid w:val="0036070A"/>
    <w:rsid w:val="00361412"/>
    <w:rsid w:val="003615CA"/>
    <w:rsid w:val="00363311"/>
    <w:rsid w:val="00363B2C"/>
    <w:rsid w:val="003642A6"/>
    <w:rsid w:val="00364763"/>
    <w:rsid w:val="00365C3D"/>
    <w:rsid w:val="00366C1B"/>
    <w:rsid w:val="00367337"/>
    <w:rsid w:val="00367367"/>
    <w:rsid w:val="003676D1"/>
    <w:rsid w:val="00367FD8"/>
    <w:rsid w:val="0037004E"/>
    <w:rsid w:val="00370B63"/>
    <w:rsid w:val="00370FCC"/>
    <w:rsid w:val="003711AF"/>
    <w:rsid w:val="00372655"/>
    <w:rsid w:val="003735C6"/>
    <w:rsid w:val="00374309"/>
    <w:rsid w:val="0037430C"/>
    <w:rsid w:val="00374848"/>
    <w:rsid w:val="003757A1"/>
    <w:rsid w:val="00375D09"/>
    <w:rsid w:val="003762DC"/>
    <w:rsid w:val="0037630F"/>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19D0"/>
    <w:rsid w:val="00392491"/>
    <w:rsid w:val="003935B0"/>
    <w:rsid w:val="00393E44"/>
    <w:rsid w:val="00394301"/>
    <w:rsid w:val="0039747B"/>
    <w:rsid w:val="00397AB6"/>
    <w:rsid w:val="00397ACA"/>
    <w:rsid w:val="003A10C3"/>
    <w:rsid w:val="003A190E"/>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752"/>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67D"/>
    <w:rsid w:val="00400F31"/>
    <w:rsid w:val="004023BA"/>
    <w:rsid w:val="0040473B"/>
    <w:rsid w:val="00406B4D"/>
    <w:rsid w:val="0041443C"/>
    <w:rsid w:val="004144C8"/>
    <w:rsid w:val="0041488F"/>
    <w:rsid w:val="004154F7"/>
    <w:rsid w:val="00416D44"/>
    <w:rsid w:val="004176FF"/>
    <w:rsid w:val="00417A1E"/>
    <w:rsid w:val="00417C69"/>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0D0C"/>
    <w:rsid w:val="00452CA7"/>
    <w:rsid w:val="00452DF8"/>
    <w:rsid w:val="00453341"/>
    <w:rsid w:val="004540E6"/>
    <w:rsid w:val="004545C6"/>
    <w:rsid w:val="00454DCA"/>
    <w:rsid w:val="00454E26"/>
    <w:rsid w:val="00456544"/>
    <w:rsid w:val="00456649"/>
    <w:rsid w:val="004567B7"/>
    <w:rsid w:val="00456856"/>
    <w:rsid w:val="004571EF"/>
    <w:rsid w:val="0046047A"/>
    <w:rsid w:val="00461210"/>
    <w:rsid w:val="00461700"/>
    <w:rsid w:val="00461AAC"/>
    <w:rsid w:val="00461EB5"/>
    <w:rsid w:val="00462490"/>
    <w:rsid w:val="00462AC9"/>
    <w:rsid w:val="00463DC3"/>
    <w:rsid w:val="00465299"/>
    <w:rsid w:val="00466A0F"/>
    <w:rsid w:val="0046795B"/>
    <w:rsid w:val="004708C0"/>
    <w:rsid w:val="0047115F"/>
    <w:rsid w:val="004715CB"/>
    <w:rsid w:val="00471863"/>
    <w:rsid w:val="00473777"/>
    <w:rsid w:val="00473A14"/>
    <w:rsid w:val="004745A9"/>
    <w:rsid w:val="00474617"/>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1E0E"/>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4D8E"/>
    <w:rsid w:val="004C6DA5"/>
    <w:rsid w:val="004C795A"/>
    <w:rsid w:val="004C7F93"/>
    <w:rsid w:val="004D07BA"/>
    <w:rsid w:val="004D2629"/>
    <w:rsid w:val="004D26B8"/>
    <w:rsid w:val="004D2C2C"/>
    <w:rsid w:val="004D38C2"/>
    <w:rsid w:val="004D41DC"/>
    <w:rsid w:val="004D4654"/>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CF2"/>
    <w:rsid w:val="00503E1C"/>
    <w:rsid w:val="00504311"/>
    <w:rsid w:val="0050485C"/>
    <w:rsid w:val="00504AC6"/>
    <w:rsid w:val="00504D75"/>
    <w:rsid w:val="00504DAB"/>
    <w:rsid w:val="00505190"/>
    <w:rsid w:val="00505D51"/>
    <w:rsid w:val="00506C99"/>
    <w:rsid w:val="00506E91"/>
    <w:rsid w:val="0050739F"/>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3B2C"/>
    <w:rsid w:val="00523E75"/>
    <w:rsid w:val="005243E0"/>
    <w:rsid w:val="005256F3"/>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1B8"/>
    <w:rsid w:val="00565869"/>
    <w:rsid w:val="00567415"/>
    <w:rsid w:val="00567610"/>
    <w:rsid w:val="00570795"/>
    <w:rsid w:val="00570D9F"/>
    <w:rsid w:val="0057185C"/>
    <w:rsid w:val="00571CA8"/>
    <w:rsid w:val="00572947"/>
    <w:rsid w:val="00573138"/>
    <w:rsid w:val="005734A7"/>
    <w:rsid w:val="005746C4"/>
    <w:rsid w:val="00574B50"/>
    <w:rsid w:val="00577835"/>
    <w:rsid w:val="00580793"/>
    <w:rsid w:val="00580A1F"/>
    <w:rsid w:val="00580CFC"/>
    <w:rsid w:val="00581470"/>
    <w:rsid w:val="00581B62"/>
    <w:rsid w:val="00581BAD"/>
    <w:rsid w:val="00582087"/>
    <w:rsid w:val="00582F21"/>
    <w:rsid w:val="005831DD"/>
    <w:rsid w:val="00584320"/>
    <w:rsid w:val="00585484"/>
    <w:rsid w:val="00585557"/>
    <w:rsid w:val="00587229"/>
    <w:rsid w:val="00587503"/>
    <w:rsid w:val="00587F7F"/>
    <w:rsid w:val="00590E8D"/>
    <w:rsid w:val="00591511"/>
    <w:rsid w:val="00591E50"/>
    <w:rsid w:val="00592CDA"/>
    <w:rsid w:val="0059331A"/>
    <w:rsid w:val="00593A72"/>
    <w:rsid w:val="00595A8C"/>
    <w:rsid w:val="00595C2C"/>
    <w:rsid w:val="00596180"/>
    <w:rsid w:val="00596BBA"/>
    <w:rsid w:val="00597386"/>
    <w:rsid w:val="005975C4"/>
    <w:rsid w:val="00597ED8"/>
    <w:rsid w:val="005A17AE"/>
    <w:rsid w:val="005A2B20"/>
    <w:rsid w:val="005A34D5"/>
    <w:rsid w:val="005A3943"/>
    <w:rsid w:val="005A4904"/>
    <w:rsid w:val="005A515A"/>
    <w:rsid w:val="005A704D"/>
    <w:rsid w:val="005B355B"/>
    <w:rsid w:val="005B3C6D"/>
    <w:rsid w:val="005B4045"/>
    <w:rsid w:val="005B42A1"/>
    <w:rsid w:val="005B5D98"/>
    <w:rsid w:val="005B609E"/>
    <w:rsid w:val="005B6DF6"/>
    <w:rsid w:val="005B7B7D"/>
    <w:rsid w:val="005C1948"/>
    <w:rsid w:val="005C22F9"/>
    <w:rsid w:val="005C263C"/>
    <w:rsid w:val="005C2679"/>
    <w:rsid w:val="005C298C"/>
    <w:rsid w:val="005C5870"/>
    <w:rsid w:val="005D059A"/>
    <w:rsid w:val="005D07C5"/>
    <w:rsid w:val="005D21B7"/>
    <w:rsid w:val="005D2DAD"/>
    <w:rsid w:val="005D3F1A"/>
    <w:rsid w:val="005D4302"/>
    <w:rsid w:val="005D5A20"/>
    <w:rsid w:val="005D786C"/>
    <w:rsid w:val="005E00E5"/>
    <w:rsid w:val="005E0148"/>
    <w:rsid w:val="005E049F"/>
    <w:rsid w:val="005E0BB6"/>
    <w:rsid w:val="005E2D80"/>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59A"/>
    <w:rsid w:val="005F7985"/>
    <w:rsid w:val="00600CEB"/>
    <w:rsid w:val="00602298"/>
    <w:rsid w:val="00602A78"/>
    <w:rsid w:val="00602A84"/>
    <w:rsid w:val="00602AA1"/>
    <w:rsid w:val="00603123"/>
    <w:rsid w:val="0060321D"/>
    <w:rsid w:val="006036F4"/>
    <w:rsid w:val="0060412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576D"/>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CA6"/>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3E1"/>
    <w:rsid w:val="00696D63"/>
    <w:rsid w:val="006A032F"/>
    <w:rsid w:val="006A0763"/>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4B3E"/>
    <w:rsid w:val="006B564D"/>
    <w:rsid w:val="006C1445"/>
    <w:rsid w:val="006C3AB0"/>
    <w:rsid w:val="006C4786"/>
    <w:rsid w:val="006C4FC1"/>
    <w:rsid w:val="006C51A5"/>
    <w:rsid w:val="006C529D"/>
    <w:rsid w:val="006C52F5"/>
    <w:rsid w:val="006C6798"/>
    <w:rsid w:val="006C6DF7"/>
    <w:rsid w:val="006D0C12"/>
    <w:rsid w:val="006D0E6B"/>
    <w:rsid w:val="006D2146"/>
    <w:rsid w:val="006D2DC9"/>
    <w:rsid w:val="006D632E"/>
    <w:rsid w:val="006E094A"/>
    <w:rsid w:val="006E12B1"/>
    <w:rsid w:val="006E13D1"/>
    <w:rsid w:val="006E2105"/>
    <w:rsid w:val="006E34DD"/>
    <w:rsid w:val="006E4254"/>
    <w:rsid w:val="006E4D0C"/>
    <w:rsid w:val="006E4D1B"/>
    <w:rsid w:val="006E5B78"/>
    <w:rsid w:val="006E67BA"/>
    <w:rsid w:val="006E699D"/>
    <w:rsid w:val="006E6BA3"/>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95"/>
    <w:rsid w:val="007063F8"/>
    <w:rsid w:val="007108D3"/>
    <w:rsid w:val="0071118B"/>
    <w:rsid w:val="00711C66"/>
    <w:rsid w:val="00711E13"/>
    <w:rsid w:val="00712799"/>
    <w:rsid w:val="00712EDA"/>
    <w:rsid w:val="007136D0"/>
    <w:rsid w:val="00714DFA"/>
    <w:rsid w:val="007155A9"/>
    <w:rsid w:val="007158E1"/>
    <w:rsid w:val="00715B77"/>
    <w:rsid w:val="00716716"/>
    <w:rsid w:val="00716AA6"/>
    <w:rsid w:val="0071705B"/>
    <w:rsid w:val="00720505"/>
    <w:rsid w:val="007224D0"/>
    <w:rsid w:val="007236A3"/>
    <w:rsid w:val="007239B6"/>
    <w:rsid w:val="0072490A"/>
    <w:rsid w:val="00724B64"/>
    <w:rsid w:val="0072517D"/>
    <w:rsid w:val="00726878"/>
    <w:rsid w:val="0073124A"/>
    <w:rsid w:val="00731B79"/>
    <w:rsid w:val="007320A2"/>
    <w:rsid w:val="007327CE"/>
    <w:rsid w:val="00733385"/>
    <w:rsid w:val="00733893"/>
    <w:rsid w:val="00734A05"/>
    <w:rsid w:val="00735B14"/>
    <w:rsid w:val="00735C6F"/>
    <w:rsid w:val="007369C4"/>
    <w:rsid w:val="00737A31"/>
    <w:rsid w:val="00742A6A"/>
    <w:rsid w:val="00742B44"/>
    <w:rsid w:val="007449E1"/>
    <w:rsid w:val="0074656E"/>
    <w:rsid w:val="007472D5"/>
    <w:rsid w:val="00750BAC"/>
    <w:rsid w:val="00752B03"/>
    <w:rsid w:val="00753454"/>
    <w:rsid w:val="00753BB5"/>
    <w:rsid w:val="007544F1"/>
    <w:rsid w:val="00755E4A"/>
    <w:rsid w:val="00756832"/>
    <w:rsid w:val="00757F0B"/>
    <w:rsid w:val="007626D0"/>
    <w:rsid w:val="007633CA"/>
    <w:rsid w:val="007651CA"/>
    <w:rsid w:val="00767519"/>
    <w:rsid w:val="007701CC"/>
    <w:rsid w:val="007704E1"/>
    <w:rsid w:val="00770E5C"/>
    <w:rsid w:val="00772569"/>
    <w:rsid w:val="00772E8C"/>
    <w:rsid w:val="00772FDB"/>
    <w:rsid w:val="0077316B"/>
    <w:rsid w:val="007736D3"/>
    <w:rsid w:val="0077500F"/>
    <w:rsid w:val="0077548E"/>
    <w:rsid w:val="007759F3"/>
    <w:rsid w:val="00777315"/>
    <w:rsid w:val="007802E4"/>
    <w:rsid w:val="00780919"/>
    <w:rsid w:val="00781589"/>
    <w:rsid w:val="007820D0"/>
    <w:rsid w:val="007824D0"/>
    <w:rsid w:val="007826C8"/>
    <w:rsid w:val="0078326F"/>
    <w:rsid w:val="00783657"/>
    <w:rsid w:val="007837ED"/>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AA9"/>
    <w:rsid w:val="00797E22"/>
    <w:rsid w:val="007A138F"/>
    <w:rsid w:val="007A1640"/>
    <w:rsid w:val="007A1AE4"/>
    <w:rsid w:val="007A39DF"/>
    <w:rsid w:val="007A3B29"/>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1FC5"/>
    <w:rsid w:val="00842E0C"/>
    <w:rsid w:val="00843A7A"/>
    <w:rsid w:val="008447F5"/>
    <w:rsid w:val="00846292"/>
    <w:rsid w:val="0084714C"/>
    <w:rsid w:val="008506E1"/>
    <w:rsid w:val="00850D96"/>
    <w:rsid w:val="008515EE"/>
    <w:rsid w:val="00851A8E"/>
    <w:rsid w:val="00851EC7"/>
    <w:rsid w:val="008528D3"/>
    <w:rsid w:val="00852B23"/>
    <w:rsid w:val="00854553"/>
    <w:rsid w:val="00855B86"/>
    <w:rsid w:val="00856192"/>
    <w:rsid w:val="00856D47"/>
    <w:rsid w:val="00857966"/>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25E9"/>
    <w:rsid w:val="00892A97"/>
    <w:rsid w:val="00893DCF"/>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1A56"/>
    <w:rsid w:val="008B2257"/>
    <w:rsid w:val="008B2436"/>
    <w:rsid w:val="008B3B51"/>
    <w:rsid w:val="008B4057"/>
    <w:rsid w:val="008B4145"/>
    <w:rsid w:val="008B497C"/>
    <w:rsid w:val="008B5071"/>
    <w:rsid w:val="008B5290"/>
    <w:rsid w:val="008B678B"/>
    <w:rsid w:val="008B6A40"/>
    <w:rsid w:val="008B72EC"/>
    <w:rsid w:val="008C2CFD"/>
    <w:rsid w:val="008C3FDC"/>
    <w:rsid w:val="008C47AD"/>
    <w:rsid w:val="008C5CAE"/>
    <w:rsid w:val="008C603A"/>
    <w:rsid w:val="008C71C8"/>
    <w:rsid w:val="008D167D"/>
    <w:rsid w:val="008D2D5A"/>
    <w:rsid w:val="008D3116"/>
    <w:rsid w:val="008D492A"/>
    <w:rsid w:val="008D4B58"/>
    <w:rsid w:val="008D4B7F"/>
    <w:rsid w:val="008D4B8A"/>
    <w:rsid w:val="008D6541"/>
    <w:rsid w:val="008D7D7B"/>
    <w:rsid w:val="008E0F52"/>
    <w:rsid w:val="008E216C"/>
    <w:rsid w:val="008E2316"/>
    <w:rsid w:val="008E3063"/>
    <w:rsid w:val="008E3281"/>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75C"/>
    <w:rsid w:val="00916EC2"/>
    <w:rsid w:val="009213BD"/>
    <w:rsid w:val="009230A6"/>
    <w:rsid w:val="00924627"/>
    <w:rsid w:val="009250A8"/>
    <w:rsid w:val="0092566D"/>
    <w:rsid w:val="00925BE6"/>
    <w:rsid w:val="00926697"/>
    <w:rsid w:val="00926F61"/>
    <w:rsid w:val="00926FA9"/>
    <w:rsid w:val="0093123D"/>
    <w:rsid w:val="00933040"/>
    <w:rsid w:val="009330E9"/>
    <w:rsid w:val="00934D97"/>
    <w:rsid w:val="00935D15"/>
    <w:rsid w:val="009403AC"/>
    <w:rsid w:val="009411FB"/>
    <w:rsid w:val="009414A9"/>
    <w:rsid w:val="00941B71"/>
    <w:rsid w:val="00941DF9"/>
    <w:rsid w:val="009421AD"/>
    <w:rsid w:val="0094221C"/>
    <w:rsid w:val="0094409C"/>
    <w:rsid w:val="00944159"/>
    <w:rsid w:val="009449B2"/>
    <w:rsid w:val="00944A82"/>
    <w:rsid w:val="00944BA5"/>
    <w:rsid w:val="009450E9"/>
    <w:rsid w:val="00946C4D"/>
    <w:rsid w:val="0095019A"/>
    <w:rsid w:val="0095285B"/>
    <w:rsid w:val="00953FE9"/>
    <w:rsid w:val="00954417"/>
    <w:rsid w:val="009546D1"/>
    <w:rsid w:val="0095481C"/>
    <w:rsid w:val="0095526F"/>
    <w:rsid w:val="0095569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67F99"/>
    <w:rsid w:val="00971592"/>
    <w:rsid w:val="00971617"/>
    <w:rsid w:val="00971DDF"/>
    <w:rsid w:val="0097225C"/>
    <w:rsid w:val="009731D6"/>
    <w:rsid w:val="00973FC6"/>
    <w:rsid w:val="00974746"/>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CF9"/>
    <w:rsid w:val="00986E9D"/>
    <w:rsid w:val="00987416"/>
    <w:rsid w:val="00987FDC"/>
    <w:rsid w:val="00990C0E"/>
    <w:rsid w:val="00990D75"/>
    <w:rsid w:val="00991093"/>
    <w:rsid w:val="0099163B"/>
    <w:rsid w:val="00991C36"/>
    <w:rsid w:val="00992343"/>
    <w:rsid w:val="009938B1"/>
    <w:rsid w:val="00996258"/>
    <w:rsid w:val="00996306"/>
    <w:rsid w:val="00996744"/>
    <w:rsid w:val="00997C35"/>
    <w:rsid w:val="00997CF4"/>
    <w:rsid w:val="009A1169"/>
    <w:rsid w:val="009A164C"/>
    <w:rsid w:val="009A1AAC"/>
    <w:rsid w:val="009A2BB6"/>
    <w:rsid w:val="009A2CB8"/>
    <w:rsid w:val="009A3789"/>
    <w:rsid w:val="009A45A2"/>
    <w:rsid w:val="009A68EC"/>
    <w:rsid w:val="009A690E"/>
    <w:rsid w:val="009A6919"/>
    <w:rsid w:val="009A6AC7"/>
    <w:rsid w:val="009B0408"/>
    <w:rsid w:val="009B0843"/>
    <w:rsid w:val="009B0DEE"/>
    <w:rsid w:val="009B1335"/>
    <w:rsid w:val="009B176D"/>
    <w:rsid w:val="009B1E47"/>
    <w:rsid w:val="009B2CED"/>
    <w:rsid w:val="009B3054"/>
    <w:rsid w:val="009B335D"/>
    <w:rsid w:val="009B3485"/>
    <w:rsid w:val="009B3B09"/>
    <w:rsid w:val="009B3C90"/>
    <w:rsid w:val="009B4919"/>
    <w:rsid w:val="009B76E3"/>
    <w:rsid w:val="009B7A72"/>
    <w:rsid w:val="009B7BB8"/>
    <w:rsid w:val="009C014C"/>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45D"/>
    <w:rsid w:val="009D3578"/>
    <w:rsid w:val="009D3A5F"/>
    <w:rsid w:val="009D4F88"/>
    <w:rsid w:val="009D5193"/>
    <w:rsid w:val="009D5C32"/>
    <w:rsid w:val="009D5C56"/>
    <w:rsid w:val="009D62C1"/>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263"/>
    <w:rsid w:val="00A04D7E"/>
    <w:rsid w:val="00A04F16"/>
    <w:rsid w:val="00A051D9"/>
    <w:rsid w:val="00A05DF3"/>
    <w:rsid w:val="00A07E08"/>
    <w:rsid w:val="00A10D79"/>
    <w:rsid w:val="00A11535"/>
    <w:rsid w:val="00A11E56"/>
    <w:rsid w:val="00A12798"/>
    <w:rsid w:val="00A13A09"/>
    <w:rsid w:val="00A14A42"/>
    <w:rsid w:val="00A14D68"/>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27A03"/>
    <w:rsid w:val="00A3017C"/>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3322"/>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1E2"/>
    <w:rsid w:val="00A539A5"/>
    <w:rsid w:val="00A53DA0"/>
    <w:rsid w:val="00A5404D"/>
    <w:rsid w:val="00A555A7"/>
    <w:rsid w:val="00A555FB"/>
    <w:rsid w:val="00A5765D"/>
    <w:rsid w:val="00A579BD"/>
    <w:rsid w:val="00A607CB"/>
    <w:rsid w:val="00A61B8D"/>
    <w:rsid w:val="00A6351F"/>
    <w:rsid w:val="00A63809"/>
    <w:rsid w:val="00A64278"/>
    <w:rsid w:val="00A64A6E"/>
    <w:rsid w:val="00A6519F"/>
    <w:rsid w:val="00A65A70"/>
    <w:rsid w:val="00A6665F"/>
    <w:rsid w:val="00A66F36"/>
    <w:rsid w:val="00A676D9"/>
    <w:rsid w:val="00A67B8F"/>
    <w:rsid w:val="00A67EFC"/>
    <w:rsid w:val="00A7031E"/>
    <w:rsid w:val="00A71140"/>
    <w:rsid w:val="00A71812"/>
    <w:rsid w:val="00A7205E"/>
    <w:rsid w:val="00A74692"/>
    <w:rsid w:val="00A75A52"/>
    <w:rsid w:val="00A7618B"/>
    <w:rsid w:val="00A7640B"/>
    <w:rsid w:val="00A773A8"/>
    <w:rsid w:val="00A7778B"/>
    <w:rsid w:val="00A803BC"/>
    <w:rsid w:val="00A80969"/>
    <w:rsid w:val="00A849AD"/>
    <w:rsid w:val="00A85798"/>
    <w:rsid w:val="00A8609D"/>
    <w:rsid w:val="00A86EA7"/>
    <w:rsid w:val="00A91244"/>
    <w:rsid w:val="00A91774"/>
    <w:rsid w:val="00A91C7F"/>
    <w:rsid w:val="00A92066"/>
    <w:rsid w:val="00A92776"/>
    <w:rsid w:val="00A93181"/>
    <w:rsid w:val="00A938E6"/>
    <w:rsid w:val="00A93CCF"/>
    <w:rsid w:val="00A93D94"/>
    <w:rsid w:val="00A9469D"/>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CA"/>
    <w:rsid w:val="00AB709E"/>
    <w:rsid w:val="00AB7806"/>
    <w:rsid w:val="00AC02C1"/>
    <w:rsid w:val="00AC0AB6"/>
    <w:rsid w:val="00AC10AD"/>
    <w:rsid w:val="00AC1E55"/>
    <w:rsid w:val="00AC3D06"/>
    <w:rsid w:val="00AC429F"/>
    <w:rsid w:val="00AC58FC"/>
    <w:rsid w:val="00AC60B4"/>
    <w:rsid w:val="00AC67B6"/>
    <w:rsid w:val="00AC6C93"/>
    <w:rsid w:val="00AC7D98"/>
    <w:rsid w:val="00AD00C5"/>
    <w:rsid w:val="00AD165F"/>
    <w:rsid w:val="00AD2794"/>
    <w:rsid w:val="00AD2DC5"/>
    <w:rsid w:val="00AD3455"/>
    <w:rsid w:val="00AD372F"/>
    <w:rsid w:val="00AD3CAD"/>
    <w:rsid w:val="00AD5A99"/>
    <w:rsid w:val="00AD69FF"/>
    <w:rsid w:val="00AD702B"/>
    <w:rsid w:val="00AD72E6"/>
    <w:rsid w:val="00AD7C95"/>
    <w:rsid w:val="00AD7FCD"/>
    <w:rsid w:val="00AE2BED"/>
    <w:rsid w:val="00AE3DE1"/>
    <w:rsid w:val="00AE5439"/>
    <w:rsid w:val="00AE61B2"/>
    <w:rsid w:val="00AE6789"/>
    <w:rsid w:val="00AE78D1"/>
    <w:rsid w:val="00AE7F89"/>
    <w:rsid w:val="00AF1B39"/>
    <w:rsid w:val="00AF2D54"/>
    <w:rsid w:val="00AF3458"/>
    <w:rsid w:val="00AF3F7B"/>
    <w:rsid w:val="00AF42B4"/>
    <w:rsid w:val="00AF4B8A"/>
    <w:rsid w:val="00AF4F1B"/>
    <w:rsid w:val="00AF5EC6"/>
    <w:rsid w:val="00AF6968"/>
    <w:rsid w:val="00AF6C38"/>
    <w:rsid w:val="00AF6E8A"/>
    <w:rsid w:val="00AF7213"/>
    <w:rsid w:val="00AF7771"/>
    <w:rsid w:val="00AF7D92"/>
    <w:rsid w:val="00B011CC"/>
    <w:rsid w:val="00B01A6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3897"/>
    <w:rsid w:val="00B34E63"/>
    <w:rsid w:val="00B3523D"/>
    <w:rsid w:val="00B35DA4"/>
    <w:rsid w:val="00B3791B"/>
    <w:rsid w:val="00B40A96"/>
    <w:rsid w:val="00B4184B"/>
    <w:rsid w:val="00B422A7"/>
    <w:rsid w:val="00B42A32"/>
    <w:rsid w:val="00B42FA6"/>
    <w:rsid w:val="00B4399E"/>
    <w:rsid w:val="00B43A16"/>
    <w:rsid w:val="00B45CE1"/>
    <w:rsid w:val="00B46A75"/>
    <w:rsid w:val="00B470A7"/>
    <w:rsid w:val="00B500CD"/>
    <w:rsid w:val="00B5109D"/>
    <w:rsid w:val="00B52393"/>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6A79"/>
    <w:rsid w:val="00B67805"/>
    <w:rsid w:val="00B721CD"/>
    <w:rsid w:val="00B7267A"/>
    <w:rsid w:val="00B726FF"/>
    <w:rsid w:val="00B72A5B"/>
    <w:rsid w:val="00B72AA4"/>
    <w:rsid w:val="00B75454"/>
    <w:rsid w:val="00B76BCD"/>
    <w:rsid w:val="00B76EE9"/>
    <w:rsid w:val="00B77231"/>
    <w:rsid w:val="00B77880"/>
    <w:rsid w:val="00B80D90"/>
    <w:rsid w:val="00B82613"/>
    <w:rsid w:val="00B82620"/>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BC9"/>
    <w:rsid w:val="00BA371C"/>
    <w:rsid w:val="00BA4641"/>
    <w:rsid w:val="00BA4A54"/>
    <w:rsid w:val="00BA4E6C"/>
    <w:rsid w:val="00BA6EB7"/>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726"/>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2F79"/>
    <w:rsid w:val="00BE3492"/>
    <w:rsid w:val="00BE4EC9"/>
    <w:rsid w:val="00BE631E"/>
    <w:rsid w:val="00BE6BEC"/>
    <w:rsid w:val="00BF0CCF"/>
    <w:rsid w:val="00BF0FC5"/>
    <w:rsid w:val="00BF10BC"/>
    <w:rsid w:val="00BF21AC"/>
    <w:rsid w:val="00BF2E53"/>
    <w:rsid w:val="00BF352A"/>
    <w:rsid w:val="00BF3669"/>
    <w:rsid w:val="00BF3C0D"/>
    <w:rsid w:val="00BF4154"/>
    <w:rsid w:val="00BF6252"/>
    <w:rsid w:val="00BF711C"/>
    <w:rsid w:val="00BF748E"/>
    <w:rsid w:val="00BF789B"/>
    <w:rsid w:val="00C03309"/>
    <w:rsid w:val="00C0377F"/>
    <w:rsid w:val="00C037E0"/>
    <w:rsid w:val="00C072FE"/>
    <w:rsid w:val="00C11ADE"/>
    <w:rsid w:val="00C126E0"/>
    <w:rsid w:val="00C12E39"/>
    <w:rsid w:val="00C13D47"/>
    <w:rsid w:val="00C14164"/>
    <w:rsid w:val="00C14C53"/>
    <w:rsid w:val="00C15D8E"/>
    <w:rsid w:val="00C167E0"/>
    <w:rsid w:val="00C16E34"/>
    <w:rsid w:val="00C17012"/>
    <w:rsid w:val="00C178FB"/>
    <w:rsid w:val="00C17DF9"/>
    <w:rsid w:val="00C201EB"/>
    <w:rsid w:val="00C20ACC"/>
    <w:rsid w:val="00C22B28"/>
    <w:rsid w:val="00C257B7"/>
    <w:rsid w:val="00C272E8"/>
    <w:rsid w:val="00C278B6"/>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1AC"/>
    <w:rsid w:val="00C62B0A"/>
    <w:rsid w:val="00C63848"/>
    <w:rsid w:val="00C63C52"/>
    <w:rsid w:val="00C63F08"/>
    <w:rsid w:val="00C6528C"/>
    <w:rsid w:val="00C661E8"/>
    <w:rsid w:val="00C70080"/>
    <w:rsid w:val="00C70084"/>
    <w:rsid w:val="00C7090B"/>
    <w:rsid w:val="00C7235B"/>
    <w:rsid w:val="00C72E18"/>
    <w:rsid w:val="00C731AD"/>
    <w:rsid w:val="00C7380B"/>
    <w:rsid w:val="00C74421"/>
    <w:rsid w:val="00C74B76"/>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6B1D"/>
    <w:rsid w:val="00C8735C"/>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20E"/>
    <w:rsid w:val="00CA26CE"/>
    <w:rsid w:val="00CA391D"/>
    <w:rsid w:val="00CA3ACD"/>
    <w:rsid w:val="00CA4F8B"/>
    <w:rsid w:val="00CA5445"/>
    <w:rsid w:val="00CB09DA"/>
    <w:rsid w:val="00CB0BD9"/>
    <w:rsid w:val="00CB0D29"/>
    <w:rsid w:val="00CB1CAC"/>
    <w:rsid w:val="00CB1DE8"/>
    <w:rsid w:val="00CB1E3B"/>
    <w:rsid w:val="00CB1F1D"/>
    <w:rsid w:val="00CB51A3"/>
    <w:rsid w:val="00CB6795"/>
    <w:rsid w:val="00CB71F8"/>
    <w:rsid w:val="00CC06E1"/>
    <w:rsid w:val="00CC180A"/>
    <w:rsid w:val="00CC1F61"/>
    <w:rsid w:val="00CC26DB"/>
    <w:rsid w:val="00CC300C"/>
    <w:rsid w:val="00CC35AE"/>
    <w:rsid w:val="00CC3DAA"/>
    <w:rsid w:val="00CC4C2C"/>
    <w:rsid w:val="00CC5057"/>
    <w:rsid w:val="00CC767E"/>
    <w:rsid w:val="00CD078F"/>
    <w:rsid w:val="00CD121E"/>
    <w:rsid w:val="00CD185D"/>
    <w:rsid w:val="00CD24C1"/>
    <w:rsid w:val="00CD28F0"/>
    <w:rsid w:val="00CD3ED8"/>
    <w:rsid w:val="00CD48AE"/>
    <w:rsid w:val="00CD497A"/>
    <w:rsid w:val="00CD761D"/>
    <w:rsid w:val="00CD76B5"/>
    <w:rsid w:val="00CD78B9"/>
    <w:rsid w:val="00CE216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22B4"/>
    <w:rsid w:val="00D035B9"/>
    <w:rsid w:val="00D040B7"/>
    <w:rsid w:val="00D05105"/>
    <w:rsid w:val="00D0530E"/>
    <w:rsid w:val="00D05A5E"/>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993"/>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2B5D"/>
    <w:rsid w:val="00D73077"/>
    <w:rsid w:val="00D736A2"/>
    <w:rsid w:val="00D73C57"/>
    <w:rsid w:val="00D742FF"/>
    <w:rsid w:val="00D758B3"/>
    <w:rsid w:val="00D76ADC"/>
    <w:rsid w:val="00D77413"/>
    <w:rsid w:val="00D7760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2610"/>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D594A"/>
    <w:rsid w:val="00DD716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2000"/>
    <w:rsid w:val="00E031BB"/>
    <w:rsid w:val="00E0417B"/>
    <w:rsid w:val="00E0576C"/>
    <w:rsid w:val="00E068BC"/>
    <w:rsid w:val="00E06B68"/>
    <w:rsid w:val="00E073F0"/>
    <w:rsid w:val="00E10761"/>
    <w:rsid w:val="00E11D7A"/>
    <w:rsid w:val="00E11EEB"/>
    <w:rsid w:val="00E128F2"/>
    <w:rsid w:val="00E13E5A"/>
    <w:rsid w:val="00E13EE4"/>
    <w:rsid w:val="00E16463"/>
    <w:rsid w:val="00E1652F"/>
    <w:rsid w:val="00E16F82"/>
    <w:rsid w:val="00E17F6F"/>
    <w:rsid w:val="00E20B20"/>
    <w:rsid w:val="00E239D1"/>
    <w:rsid w:val="00E246B9"/>
    <w:rsid w:val="00E250C5"/>
    <w:rsid w:val="00E26727"/>
    <w:rsid w:val="00E26970"/>
    <w:rsid w:val="00E2728F"/>
    <w:rsid w:val="00E27791"/>
    <w:rsid w:val="00E30F2D"/>
    <w:rsid w:val="00E31651"/>
    <w:rsid w:val="00E319DB"/>
    <w:rsid w:val="00E31AFC"/>
    <w:rsid w:val="00E3250F"/>
    <w:rsid w:val="00E3381A"/>
    <w:rsid w:val="00E3409E"/>
    <w:rsid w:val="00E34F76"/>
    <w:rsid w:val="00E35558"/>
    <w:rsid w:val="00E37BE5"/>
    <w:rsid w:val="00E40CE8"/>
    <w:rsid w:val="00E41A27"/>
    <w:rsid w:val="00E41AB4"/>
    <w:rsid w:val="00E42737"/>
    <w:rsid w:val="00E43EF4"/>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920"/>
    <w:rsid w:val="00E73AB7"/>
    <w:rsid w:val="00E74F5D"/>
    <w:rsid w:val="00E76034"/>
    <w:rsid w:val="00E77C9F"/>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2E4A"/>
    <w:rsid w:val="00ED33AE"/>
    <w:rsid w:val="00ED33EA"/>
    <w:rsid w:val="00ED3775"/>
    <w:rsid w:val="00ED3DE2"/>
    <w:rsid w:val="00ED4A6D"/>
    <w:rsid w:val="00ED6D4A"/>
    <w:rsid w:val="00ED721A"/>
    <w:rsid w:val="00ED738C"/>
    <w:rsid w:val="00ED7918"/>
    <w:rsid w:val="00ED7FD3"/>
    <w:rsid w:val="00EE0E5D"/>
    <w:rsid w:val="00EE11C2"/>
    <w:rsid w:val="00EE2347"/>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6BF2"/>
    <w:rsid w:val="00F07F39"/>
    <w:rsid w:val="00F10CB9"/>
    <w:rsid w:val="00F110CD"/>
    <w:rsid w:val="00F110D5"/>
    <w:rsid w:val="00F12351"/>
    <w:rsid w:val="00F144AD"/>
    <w:rsid w:val="00F14CF4"/>
    <w:rsid w:val="00F15193"/>
    <w:rsid w:val="00F16739"/>
    <w:rsid w:val="00F16DE2"/>
    <w:rsid w:val="00F2052B"/>
    <w:rsid w:val="00F22183"/>
    <w:rsid w:val="00F2260F"/>
    <w:rsid w:val="00F242AD"/>
    <w:rsid w:val="00F247F2"/>
    <w:rsid w:val="00F2518F"/>
    <w:rsid w:val="00F252A8"/>
    <w:rsid w:val="00F265F7"/>
    <w:rsid w:val="00F27FA6"/>
    <w:rsid w:val="00F32C11"/>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5C7"/>
    <w:rsid w:val="00F70C73"/>
    <w:rsid w:val="00F713A3"/>
    <w:rsid w:val="00F71A8F"/>
    <w:rsid w:val="00F75330"/>
    <w:rsid w:val="00F75B66"/>
    <w:rsid w:val="00F76BD9"/>
    <w:rsid w:val="00F80318"/>
    <w:rsid w:val="00F80703"/>
    <w:rsid w:val="00F80948"/>
    <w:rsid w:val="00F81387"/>
    <w:rsid w:val="00F82134"/>
    <w:rsid w:val="00F822E3"/>
    <w:rsid w:val="00F8283D"/>
    <w:rsid w:val="00F82866"/>
    <w:rsid w:val="00F841FB"/>
    <w:rsid w:val="00F84421"/>
    <w:rsid w:val="00F8449B"/>
    <w:rsid w:val="00F84B44"/>
    <w:rsid w:val="00F85691"/>
    <w:rsid w:val="00F85F92"/>
    <w:rsid w:val="00F85F96"/>
    <w:rsid w:val="00F86653"/>
    <w:rsid w:val="00F86904"/>
    <w:rsid w:val="00F87032"/>
    <w:rsid w:val="00F87094"/>
    <w:rsid w:val="00F87AB3"/>
    <w:rsid w:val="00F87F6E"/>
    <w:rsid w:val="00F90AFC"/>
    <w:rsid w:val="00F913DC"/>
    <w:rsid w:val="00F91DDA"/>
    <w:rsid w:val="00F930FD"/>
    <w:rsid w:val="00F9397A"/>
    <w:rsid w:val="00F93A37"/>
    <w:rsid w:val="00F94182"/>
    <w:rsid w:val="00F9431F"/>
    <w:rsid w:val="00F944D9"/>
    <w:rsid w:val="00F94DB3"/>
    <w:rsid w:val="00F96500"/>
    <w:rsid w:val="00FA31E7"/>
    <w:rsid w:val="00FA413A"/>
    <w:rsid w:val="00FA4144"/>
    <w:rsid w:val="00FA4DDF"/>
    <w:rsid w:val="00FA645E"/>
    <w:rsid w:val="00FA6A1E"/>
    <w:rsid w:val="00FA6E7F"/>
    <w:rsid w:val="00FA7114"/>
    <w:rsid w:val="00FB052D"/>
    <w:rsid w:val="00FB2101"/>
    <w:rsid w:val="00FB22D7"/>
    <w:rsid w:val="00FB2379"/>
    <w:rsid w:val="00FB3CB7"/>
    <w:rsid w:val="00FB4B8A"/>
    <w:rsid w:val="00FB5152"/>
    <w:rsid w:val="00FB5F8F"/>
    <w:rsid w:val="00FB680E"/>
    <w:rsid w:val="00FB6B73"/>
    <w:rsid w:val="00FB7A0B"/>
    <w:rsid w:val="00FC0065"/>
    <w:rsid w:val="00FC062F"/>
    <w:rsid w:val="00FC0754"/>
    <w:rsid w:val="00FC3AEE"/>
    <w:rsid w:val="00FC6060"/>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770"/>
    <w:rsid w:val="00FE4C88"/>
    <w:rsid w:val="00FE515A"/>
    <w:rsid w:val="00FE5421"/>
    <w:rsid w:val="00FE5624"/>
    <w:rsid w:val="00FE5703"/>
    <w:rsid w:val="00FE5D2C"/>
    <w:rsid w:val="00FE5FBF"/>
    <w:rsid w:val="00FE6C25"/>
    <w:rsid w:val="00FF033A"/>
    <w:rsid w:val="00FF0964"/>
    <w:rsid w:val="00FF0F67"/>
    <w:rsid w:val="00FF16F2"/>
    <w:rsid w:val="00FF1F9B"/>
    <w:rsid w:val="00FF2611"/>
    <w:rsid w:val="00FF2B42"/>
    <w:rsid w:val="00FF2D5B"/>
    <w:rsid w:val="00FF3B7F"/>
    <w:rsid w:val="00FF4F92"/>
    <w:rsid w:val="00FF5428"/>
    <w:rsid w:val="00FF54EB"/>
    <w:rsid w:val="00FF6822"/>
    <w:rsid w:val="00FF73D0"/>
    <w:rsid w:val="06BA53E3"/>
    <w:rsid w:val="070064E9"/>
    <w:rsid w:val="07B39E99"/>
    <w:rsid w:val="07BA243F"/>
    <w:rsid w:val="09C0678C"/>
    <w:rsid w:val="0C365EA4"/>
    <w:rsid w:val="0C7C81B0"/>
    <w:rsid w:val="0D0EDE05"/>
    <w:rsid w:val="0E29498A"/>
    <w:rsid w:val="0ED41F8D"/>
    <w:rsid w:val="0F280164"/>
    <w:rsid w:val="0F88C7F4"/>
    <w:rsid w:val="10E807B4"/>
    <w:rsid w:val="11194638"/>
    <w:rsid w:val="11A2E14B"/>
    <w:rsid w:val="1328B26E"/>
    <w:rsid w:val="141204DA"/>
    <w:rsid w:val="14A054AA"/>
    <w:rsid w:val="14A7980B"/>
    <w:rsid w:val="16512788"/>
    <w:rsid w:val="1703FA0C"/>
    <w:rsid w:val="176B25A9"/>
    <w:rsid w:val="184204ED"/>
    <w:rsid w:val="1915AFB6"/>
    <w:rsid w:val="1A219784"/>
    <w:rsid w:val="1E8211F6"/>
    <w:rsid w:val="1FAE4E7B"/>
    <w:rsid w:val="207C5373"/>
    <w:rsid w:val="2325766C"/>
    <w:rsid w:val="233FF8B8"/>
    <w:rsid w:val="2A307146"/>
    <w:rsid w:val="2C081102"/>
    <w:rsid w:val="2C87A766"/>
    <w:rsid w:val="2F6639AC"/>
    <w:rsid w:val="2FE51534"/>
    <w:rsid w:val="31C56060"/>
    <w:rsid w:val="32182866"/>
    <w:rsid w:val="32975CEE"/>
    <w:rsid w:val="330A0C68"/>
    <w:rsid w:val="33949CF5"/>
    <w:rsid w:val="33A4A8DC"/>
    <w:rsid w:val="3464471D"/>
    <w:rsid w:val="346901B8"/>
    <w:rsid w:val="38076F22"/>
    <w:rsid w:val="3A4DB84D"/>
    <w:rsid w:val="3A873327"/>
    <w:rsid w:val="3A9BAB2D"/>
    <w:rsid w:val="3E61DC49"/>
    <w:rsid w:val="4008D6ED"/>
    <w:rsid w:val="402B8C46"/>
    <w:rsid w:val="416979EA"/>
    <w:rsid w:val="4300A28A"/>
    <w:rsid w:val="4439A050"/>
    <w:rsid w:val="443D3201"/>
    <w:rsid w:val="4592DFDC"/>
    <w:rsid w:val="46A7B5C6"/>
    <w:rsid w:val="4724FB59"/>
    <w:rsid w:val="4864C39F"/>
    <w:rsid w:val="48CAD879"/>
    <w:rsid w:val="4A532CC9"/>
    <w:rsid w:val="4D62406C"/>
    <w:rsid w:val="4E24536E"/>
    <w:rsid w:val="4F47E12C"/>
    <w:rsid w:val="4FC3917F"/>
    <w:rsid w:val="52562533"/>
    <w:rsid w:val="567380E6"/>
    <w:rsid w:val="574EC407"/>
    <w:rsid w:val="577ABB3F"/>
    <w:rsid w:val="578C81EA"/>
    <w:rsid w:val="578D3714"/>
    <w:rsid w:val="57FB48B2"/>
    <w:rsid w:val="5A09510C"/>
    <w:rsid w:val="5A1F6C83"/>
    <w:rsid w:val="5B73DA29"/>
    <w:rsid w:val="5B7ECE71"/>
    <w:rsid w:val="5C07BE12"/>
    <w:rsid w:val="5DDAE991"/>
    <w:rsid w:val="5E21A689"/>
    <w:rsid w:val="601429BD"/>
    <w:rsid w:val="60417B16"/>
    <w:rsid w:val="6361E8DA"/>
    <w:rsid w:val="655741C0"/>
    <w:rsid w:val="65FA20B1"/>
    <w:rsid w:val="661D2E44"/>
    <w:rsid w:val="66740B0C"/>
    <w:rsid w:val="67205F1A"/>
    <w:rsid w:val="672BEDA5"/>
    <w:rsid w:val="68D092B6"/>
    <w:rsid w:val="695A62B8"/>
    <w:rsid w:val="6DCE0266"/>
    <w:rsid w:val="6F2EE974"/>
    <w:rsid w:val="6FDB62BE"/>
    <w:rsid w:val="701B3BE7"/>
    <w:rsid w:val="73F31950"/>
    <w:rsid w:val="740C7680"/>
    <w:rsid w:val="740CD04C"/>
    <w:rsid w:val="7572CF84"/>
    <w:rsid w:val="7596BB14"/>
    <w:rsid w:val="7609B8DD"/>
    <w:rsid w:val="760D654E"/>
    <w:rsid w:val="770A784C"/>
    <w:rsid w:val="77D6EBC8"/>
    <w:rsid w:val="781ED33A"/>
    <w:rsid w:val="78A85DED"/>
    <w:rsid w:val="793BA90F"/>
    <w:rsid w:val="7B77501E"/>
    <w:rsid w:val="7CA925C1"/>
    <w:rsid w:val="7D949928"/>
    <w:rsid w:val="7E8052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21"/>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563105">
      <w:bodyDiv w:val="1"/>
      <w:marLeft w:val="0"/>
      <w:marRight w:val="0"/>
      <w:marTop w:val="0"/>
      <w:marBottom w:val="0"/>
      <w:divBdr>
        <w:top w:val="none" w:sz="0" w:space="0" w:color="auto"/>
        <w:left w:val="none" w:sz="0" w:space="0" w:color="auto"/>
        <w:bottom w:val="none" w:sz="0" w:space="0" w:color="auto"/>
        <w:right w:val="none" w:sz="0" w:space="0" w:color="auto"/>
      </w:divBdr>
      <w:divsChild>
        <w:div w:id="1741947674">
          <w:marLeft w:val="1166"/>
          <w:marRight w:val="0"/>
          <w:marTop w:val="0"/>
          <w:marBottom w:val="60"/>
          <w:divBdr>
            <w:top w:val="none" w:sz="0" w:space="0" w:color="auto"/>
            <w:left w:val="none" w:sz="0" w:space="0" w:color="auto"/>
            <w:bottom w:val="none" w:sz="0" w:space="0" w:color="auto"/>
            <w:right w:val="none" w:sz="0" w:space="0" w:color="auto"/>
          </w:divBdr>
        </w:div>
        <w:div w:id="133841765">
          <w:marLeft w:val="1166"/>
          <w:marRight w:val="0"/>
          <w:marTop w:val="0"/>
          <w:marBottom w:val="60"/>
          <w:divBdr>
            <w:top w:val="none" w:sz="0" w:space="0" w:color="auto"/>
            <w:left w:val="none" w:sz="0" w:space="0" w:color="auto"/>
            <w:bottom w:val="none" w:sz="0" w:space="0" w:color="auto"/>
            <w:right w:val="none" w:sz="0" w:space="0" w:color="auto"/>
          </w:divBdr>
        </w:div>
        <w:div w:id="225992858">
          <w:marLeft w:val="1166"/>
          <w:marRight w:val="0"/>
          <w:marTop w:val="0"/>
          <w:marBottom w:val="6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1521316469">
          <w:marLeft w:val="0"/>
          <w:marRight w:val="0"/>
          <w:marTop w:val="0"/>
          <w:marBottom w:val="0"/>
          <w:divBdr>
            <w:top w:val="none" w:sz="0" w:space="0" w:color="auto"/>
            <w:left w:val="none" w:sz="0" w:space="0" w:color="auto"/>
            <w:bottom w:val="none" w:sz="0" w:space="0" w:color="auto"/>
            <w:right w:val="none" w:sz="0" w:space="0" w:color="auto"/>
          </w:divBdr>
        </w:div>
        <w:div w:id="314264164">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532142">
      <w:bodyDiv w:val="1"/>
      <w:marLeft w:val="0"/>
      <w:marRight w:val="0"/>
      <w:marTop w:val="0"/>
      <w:marBottom w:val="0"/>
      <w:divBdr>
        <w:top w:val="none" w:sz="0" w:space="0" w:color="auto"/>
        <w:left w:val="none" w:sz="0" w:space="0" w:color="auto"/>
        <w:bottom w:val="none" w:sz="0" w:space="0" w:color="auto"/>
        <w:right w:val="none" w:sz="0" w:space="0" w:color="auto"/>
      </w:divBdr>
      <w:divsChild>
        <w:div w:id="760760066">
          <w:marLeft w:val="547"/>
          <w:marRight w:val="0"/>
          <w:marTop w:val="0"/>
          <w:marBottom w:val="180"/>
          <w:divBdr>
            <w:top w:val="none" w:sz="0" w:space="0" w:color="auto"/>
            <w:left w:val="none" w:sz="0" w:space="0" w:color="auto"/>
            <w:bottom w:val="none" w:sz="0" w:space="0" w:color="auto"/>
            <w:right w:val="none" w:sz="0" w:space="0" w:color="auto"/>
          </w:divBdr>
        </w:div>
        <w:div w:id="212893007">
          <w:marLeft w:val="547"/>
          <w:marRight w:val="0"/>
          <w:marTop w:val="0"/>
          <w:marBottom w:val="180"/>
          <w:divBdr>
            <w:top w:val="none" w:sz="0" w:space="0" w:color="auto"/>
            <w:left w:val="none" w:sz="0" w:space="0" w:color="auto"/>
            <w:bottom w:val="none" w:sz="0" w:space="0" w:color="auto"/>
            <w:right w:val="none" w:sz="0" w:space="0" w:color="auto"/>
          </w:divBdr>
        </w:div>
        <w:div w:id="1598640201">
          <w:marLeft w:val="1166"/>
          <w:marRight w:val="0"/>
          <w:marTop w:val="0"/>
          <w:marBottom w:val="180"/>
          <w:divBdr>
            <w:top w:val="none" w:sz="0" w:space="0" w:color="auto"/>
            <w:left w:val="none" w:sz="0" w:space="0" w:color="auto"/>
            <w:bottom w:val="none" w:sz="0" w:space="0" w:color="auto"/>
            <w:right w:val="none" w:sz="0" w:space="0" w:color="auto"/>
          </w:divBdr>
        </w:div>
        <w:div w:id="1661542846">
          <w:marLeft w:val="1166"/>
          <w:marRight w:val="0"/>
          <w:marTop w:val="0"/>
          <w:marBottom w:val="180"/>
          <w:divBdr>
            <w:top w:val="none" w:sz="0" w:space="0" w:color="auto"/>
            <w:left w:val="none" w:sz="0" w:space="0" w:color="auto"/>
            <w:bottom w:val="none" w:sz="0" w:space="0" w:color="auto"/>
            <w:right w:val="none" w:sz="0" w:space="0" w:color="auto"/>
          </w:divBdr>
        </w:div>
      </w:divsChild>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5879327">
      <w:bodyDiv w:val="1"/>
      <w:marLeft w:val="0"/>
      <w:marRight w:val="0"/>
      <w:marTop w:val="0"/>
      <w:marBottom w:val="0"/>
      <w:divBdr>
        <w:top w:val="none" w:sz="0" w:space="0" w:color="auto"/>
        <w:left w:val="none" w:sz="0" w:space="0" w:color="auto"/>
        <w:bottom w:val="none" w:sz="0" w:space="0" w:color="auto"/>
        <w:right w:val="none" w:sz="0" w:space="0" w:color="auto"/>
      </w:divBdr>
      <w:divsChild>
        <w:div w:id="1560361390">
          <w:marLeft w:val="547"/>
          <w:marRight w:val="0"/>
          <w:marTop w:val="0"/>
          <w:marBottom w:val="60"/>
          <w:divBdr>
            <w:top w:val="none" w:sz="0" w:space="0" w:color="auto"/>
            <w:left w:val="none" w:sz="0" w:space="0" w:color="auto"/>
            <w:bottom w:val="none" w:sz="0" w:space="0" w:color="auto"/>
            <w:right w:val="none" w:sz="0" w:space="0" w:color="auto"/>
          </w:divBdr>
        </w:div>
        <w:div w:id="697001673">
          <w:marLeft w:val="547"/>
          <w:marRight w:val="0"/>
          <w:marTop w:val="0"/>
          <w:marBottom w:val="60"/>
          <w:divBdr>
            <w:top w:val="none" w:sz="0" w:space="0" w:color="auto"/>
            <w:left w:val="none" w:sz="0" w:space="0" w:color="auto"/>
            <w:bottom w:val="none" w:sz="0" w:space="0" w:color="auto"/>
            <w:right w:val="none" w:sz="0" w:space="0" w:color="auto"/>
          </w:divBdr>
        </w:div>
        <w:div w:id="1435006968">
          <w:marLeft w:val="547"/>
          <w:marRight w:val="0"/>
          <w:marTop w:val="0"/>
          <w:marBottom w:val="60"/>
          <w:divBdr>
            <w:top w:val="none" w:sz="0" w:space="0" w:color="auto"/>
            <w:left w:val="none" w:sz="0" w:space="0" w:color="auto"/>
            <w:bottom w:val="none" w:sz="0" w:space="0" w:color="auto"/>
            <w:right w:val="none" w:sz="0" w:space="0" w:color="auto"/>
          </w:divBdr>
        </w:div>
        <w:div w:id="254291951">
          <w:marLeft w:val="547"/>
          <w:marRight w:val="0"/>
          <w:marTop w:val="0"/>
          <w:marBottom w:val="60"/>
          <w:divBdr>
            <w:top w:val="none" w:sz="0" w:space="0" w:color="auto"/>
            <w:left w:val="none" w:sz="0" w:space="0" w:color="auto"/>
            <w:bottom w:val="none" w:sz="0" w:space="0" w:color="auto"/>
            <w:right w:val="none" w:sz="0" w:space="0" w:color="auto"/>
          </w:divBdr>
        </w:div>
        <w:div w:id="1458908356">
          <w:marLeft w:val="1166"/>
          <w:marRight w:val="0"/>
          <w:marTop w:val="0"/>
          <w:marBottom w:val="60"/>
          <w:divBdr>
            <w:top w:val="none" w:sz="0" w:space="0" w:color="auto"/>
            <w:left w:val="none" w:sz="0" w:space="0" w:color="auto"/>
            <w:bottom w:val="none" w:sz="0" w:space="0" w:color="auto"/>
            <w:right w:val="none" w:sz="0" w:space="0" w:color="auto"/>
          </w:divBdr>
        </w:div>
        <w:div w:id="1437678274">
          <w:marLeft w:val="547"/>
          <w:marRight w:val="0"/>
          <w:marTop w:val="0"/>
          <w:marBottom w:val="60"/>
          <w:divBdr>
            <w:top w:val="none" w:sz="0" w:space="0" w:color="auto"/>
            <w:left w:val="none" w:sz="0" w:space="0" w:color="auto"/>
            <w:bottom w:val="none" w:sz="0" w:space="0" w:color="auto"/>
            <w:right w:val="none" w:sz="0" w:space="0" w:color="auto"/>
          </w:divBdr>
        </w:div>
        <w:div w:id="141587501">
          <w:marLeft w:val="1166"/>
          <w:marRight w:val="0"/>
          <w:marTop w:val="0"/>
          <w:marBottom w:val="60"/>
          <w:divBdr>
            <w:top w:val="none" w:sz="0" w:space="0" w:color="auto"/>
            <w:left w:val="none" w:sz="0" w:space="0" w:color="auto"/>
            <w:bottom w:val="none" w:sz="0" w:space="0" w:color="auto"/>
            <w:right w:val="none" w:sz="0" w:space="0" w:color="auto"/>
          </w:divBdr>
        </w:div>
        <w:div w:id="139613421">
          <w:marLeft w:val="547"/>
          <w:marRight w:val="0"/>
          <w:marTop w:val="0"/>
          <w:marBottom w:val="6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916524113">
          <w:marLeft w:val="0"/>
          <w:marRight w:val="0"/>
          <w:marTop w:val="0"/>
          <w:marBottom w:val="0"/>
          <w:divBdr>
            <w:top w:val="none" w:sz="0" w:space="0" w:color="auto"/>
            <w:left w:val="none" w:sz="0" w:space="0" w:color="auto"/>
            <w:bottom w:val="none" w:sz="0" w:space="0" w:color="auto"/>
            <w:right w:val="none" w:sz="0" w:space="0" w:color="auto"/>
          </w:divBdr>
        </w:div>
        <w:div w:id="187565807">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63170280">
      <w:bodyDiv w:val="1"/>
      <w:marLeft w:val="0"/>
      <w:marRight w:val="0"/>
      <w:marTop w:val="0"/>
      <w:marBottom w:val="0"/>
      <w:divBdr>
        <w:top w:val="none" w:sz="0" w:space="0" w:color="auto"/>
        <w:left w:val="none" w:sz="0" w:space="0" w:color="auto"/>
        <w:bottom w:val="none" w:sz="0" w:space="0" w:color="auto"/>
        <w:right w:val="none" w:sz="0" w:space="0" w:color="auto"/>
      </w:divBdr>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8971233">
      <w:bodyDiv w:val="1"/>
      <w:marLeft w:val="0"/>
      <w:marRight w:val="0"/>
      <w:marTop w:val="0"/>
      <w:marBottom w:val="0"/>
      <w:divBdr>
        <w:top w:val="none" w:sz="0" w:space="0" w:color="auto"/>
        <w:left w:val="none" w:sz="0" w:space="0" w:color="auto"/>
        <w:bottom w:val="none" w:sz="0" w:space="0" w:color="auto"/>
        <w:right w:val="none" w:sz="0" w:space="0" w:color="auto"/>
      </w:divBdr>
      <w:divsChild>
        <w:div w:id="2016029114">
          <w:marLeft w:val="547"/>
          <w:marRight w:val="0"/>
          <w:marTop w:val="0"/>
          <w:marBottom w:val="180"/>
          <w:divBdr>
            <w:top w:val="none" w:sz="0" w:space="0" w:color="auto"/>
            <w:left w:val="none" w:sz="0" w:space="0" w:color="auto"/>
            <w:bottom w:val="none" w:sz="0" w:space="0" w:color="auto"/>
            <w:right w:val="none" w:sz="0" w:space="0" w:color="auto"/>
          </w:divBdr>
        </w:div>
        <w:div w:id="511531224">
          <w:marLeft w:val="547"/>
          <w:marRight w:val="0"/>
          <w:marTop w:val="0"/>
          <w:marBottom w:val="180"/>
          <w:divBdr>
            <w:top w:val="none" w:sz="0" w:space="0" w:color="auto"/>
            <w:left w:val="none" w:sz="0" w:space="0" w:color="auto"/>
            <w:bottom w:val="none" w:sz="0" w:space="0" w:color="auto"/>
            <w:right w:val="none" w:sz="0" w:space="0" w:color="auto"/>
          </w:divBdr>
        </w:div>
        <w:div w:id="429278779">
          <w:marLeft w:val="1166"/>
          <w:marRight w:val="0"/>
          <w:marTop w:val="0"/>
          <w:marBottom w:val="180"/>
          <w:divBdr>
            <w:top w:val="none" w:sz="0" w:space="0" w:color="auto"/>
            <w:left w:val="none" w:sz="0" w:space="0" w:color="auto"/>
            <w:bottom w:val="none" w:sz="0" w:space="0" w:color="auto"/>
            <w:right w:val="none" w:sz="0" w:space="0" w:color="auto"/>
          </w:divBdr>
        </w:div>
        <w:div w:id="1991398435">
          <w:marLeft w:val="1166"/>
          <w:marRight w:val="0"/>
          <w:marTop w:val="0"/>
          <w:marBottom w:val="180"/>
          <w:divBdr>
            <w:top w:val="none" w:sz="0" w:space="0" w:color="auto"/>
            <w:left w:val="none" w:sz="0" w:space="0" w:color="auto"/>
            <w:bottom w:val="none" w:sz="0" w:space="0" w:color="auto"/>
            <w:right w:val="none" w:sz="0" w:space="0" w:color="auto"/>
          </w:divBdr>
        </w:div>
      </w:divsChild>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995527873">
          <w:marLeft w:val="0"/>
          <w:marRight w:val="0"/>
          <w:marTop w:val="0"/>
          <w:marBottom w:val="0"/>
          <w:divBdr>
            <w:top w:val="none" w:sz="0" w:space="0" w:color="auto"/>
            <w:left w:val="none" w:sz="0" w:space="0" w:color="auto"/>
            <w:bottom w:val="none" w:sz="0" w:space="0" w:color="auto"/>
            <w:right w:val="none" w:sz="0" w:space="0" w:color="auto"/>
          </w:divBdr>
        </w:div>
        <w:div w:id="1559899805">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1850244577">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73743157">
          <w:marLeft w:val="1166"/>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5AIRPNAIUNRU-1830940522-6282</_dlc_DocId>
    <_dlc_DocIdUrl xmlns="71c5aaf6-e6ce-465b-b873-5148d2a4c105">
      <Url>https://nokia.sharepoint.com/sites/c5g/5gradio/_layouts/15/DocIdRedir.aspx?ID=5AIRPNAIUNRU-1830940522-6282</Url>
      <Description>5AIRPNAIUNRU-1830940522-6282</Description>
    </_dlc_DocIdUrl>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95d2e41d-1f11-4347-bb1c-11d6a32975dd"/>
    <ds:schemaRef ds:uri="http://purl.org/dc/term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7484CD83-3930-45E7-AF63-1779C2EE3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6</Pages>
  <Words>3033</Words>
  <Characters>15058</Characters>
  <Application>Microsoft Office Word</Application>
  <DocSecurity>0</DocSecurity>
  <Lines>125</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3</cp:revision>
  <cp:lastPrinted>2019-03-28T09:37:00Z</cp:lastPrinted>
  <dcterms:created xsi:type="dcterms:W3CDTF">2019-10-04T15:32:00Z</dcterms:created>
  <dcterms:modified xsi:type="dcterms:W3CDTF">2019-10-04T15:36:00Z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58cd8040-a6fa-48a9-95fc-a61b862b9b4e</vt:lpwstr>
  </property>
  <property fmtid="{D5CDD505-2E9C-101B-9397-08002B2CF9AE}" pid="9" name="AuthorIds_UIVersion_2048">
    <vt:lpwstr>14130</vt:lpwstr>
  </property>
  <property fmtid="{D5CDD505-2E9C-101B-9397-08002B2CF9AE}" pid="10" name="AuthorIds_UIVersion_512">
    <vt:lpwstr>14130</vt:lpwstr>
  </property>
</Properties>
</file>